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216"/>
        <w:gridCol w:w="20"/>
        <w:gridCol w:w="5178"/>
        <w:gridCol w:w="20"/>
        <w:gridCol w:w="20"/>
        <w:gridCol w:w="24"/>
      </w:tblGrid>
      <w:tr w:rsidR="005776A7" w:rsidRPr="005776A7" w:rsidTr="002E3FBF">
        <w:trPr>
          <w:gridAfter w:val="5"/>
          <w:wAfter w:w="5262" w:type="dxa"/>
          <w:tblCellSpacing w:w="0" w:type="dxa"/>
        </w:trPr>
        <w:tc>
          <w:tcPr>
            <w:tcW w:w="20" w:type="dxa"/>
            <w:hideMark/>
          </w:tcPr>
          <w:p w:rsidR="005776A7" w:rsidRPr="005776A7" w:rsidRDefault="005776A7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vAlign w:val="center"/>
            <w:hideMark/>
          </w:tcPr>
          <w:p w:rsidR="005776A7" w:rsidRPr="005776A7" w:rsidRDefault="00BF3ACC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776A7" w:rsidRPr="00577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6A7" w:rsidRPr="005776A7" w:rsidTr="003B65EB">
        <w:trPr>
          <w:gridAfter w:val="1"/>
          <w:wAfter w:w="24" w:type="dxa"/>
          <w:trHeight w:val="675"/>
          <w:tblCellSpacing w:w="0" w:type="dxa"/>
        </w:trPr>
        <w:tc>
          <w:tcPr>
            <w:tcW w:w="20" w:type="dxa"/>
            <w:vAlign w:val="bottom"/>
            <w:hideMark/>
          </w:tcPr>
          <w:p w:rsidR="005776A7" w:rsidRPr="005776A7" w:rsidRDefault="005776A7" w:rsidP="0057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vAlign w:val="bottom"/>
          </w:tcPr>
          <w:p w:rsidR="005776A7" w:rsidRPr="005776A7" w:rsidRDefault="003B65EB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" w:type="dxa"/>
            <w:vAlign w:val="bottom"/>
          </w:tcPr>
          <w:p w:rsidR="005776A7" w:rsidRPr="005776A7" w:rsidRDefault="005776A7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bottom"/>
          </w:tcPr>
          <w:p w:rsidR="005776A7" w:rsidRPr="005776A7" w:rsidRDefault="005776A7" w:rsidP="0057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5776A7" w:rsidRPr="005776A7" w:rsidRDefault="005776A7" w:rsidP="00577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776A7" w:rsidRPr="005776A7" w:rsidRDefault="005776A7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6A7" w:rsidRPr="003B65EB" w:rsidTr="002E3FBF">
        <w:trPr>
          <w:trHeight w:val="15588"/>
          <w:tblCellSpacing w:w="0" w:type="dxa"/>
        </w:trPr>
        <w:tc>
          <w:tcPr>
            <w:tcW w:w="20" w:type="dxa"/>
            <w:vAlign w:val="center"/>
            <w:hideMark/>
          </w:tcPr>
          <w:p w:rsidR="005776A7" w:rsidRPr="003B65EB" w:rsidRDefault="00095CF6" w:rsidP="00B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78" w:type="dxa"/>
            <w:gridSpan w:val="6"/>
            <w:vMerge w:val="restart"/>
            <w:hideMark/>
          </w:tcPr>
          <w:p w:rsidR="003B65EB" w:rsidRDefault="003B65EB" w:rsidP="00F54F10">
            <w:pPr>
              <w:tabs>
                <w:tab w:val="left" w:pos="2038"/>
                <w:tab w:val="center" w:pos="473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EB" w:rsidRDefault="003B65EB" w:rsidP="00F54F10">
            <w:pPr>
              <w:tabs>
                <w:tab w:val="left" w:pos="2038"/>
                <w:tab w:val="center" w:pos="473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10" w:rsidRPr="003B65EB" w:rsidRDefault="00F54F10" w:rsidP="00F54F10">
            <w:pPr>
              <w:tabs>
                <w:tab w:val="left" w:pos="2038"/>
                <w:tab w:val="center" w:pos="473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163E" w:rsidRPr="003B65EB" w:rsidRDefault="00F54F10" w:rsidP="00F54F10">
            <w:pPr>
              <w:tabs>
                <w:tab w:val="left" w:pos="2038"/>
                <w:tab w:val="center" w:pos="4739"/>
              </w:tabs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163E" w:rsidRPr="003B65EB">
              <w:rPr>
                <w:rFonts w:ascii="Times New Roman" w:hAnsi="Times New Roman" w:cs="Times New Roman"/>
                <w:sz w:val="40"/>
                <w:szCs w:val="40"/>
              </w:rPr>
              <w:t>ПУБЛИЧНЫЙ     ДОКЛАД</w:t>
            </w: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40"/>
                <w:szCs w:val="40"/>
              </w:rPr>
              <w:t>Директора</w:t>
            </w:r>
          </w:p>
          <w:p w:rsid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40"/>
                <w:szCs w:val="40"/>
              </w:rPr>
              <w:t xml:space="preserve">МОУ «Основная общеобразовательная школа </w:t>
            </w: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40"/>
                <w:szCs w:val="40"/>
              </w:rPr>
              <w:t>с. Чкалово</w:t>
            </w: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3B65EB">
              <w:rPr>
                <w:rFonts w:ascii="Times New Roman" w:hAnsi="Times New Roman" w:cs="Times New Roman"/>
                <w:sz w:val="40"/>
                <w:szCs w:val="40"/>
              </w:rPr>
              <w:t>Ершовского</w:t>
            </w:r>
            <w:proofErr w:type="spellEnd"/>
            <w:r w:rsidRPr="003B65EB">
              <w:rPr>
                <w:rFonts w:ascii="Times New Roman" w:hAnsi="Times New Roman" w:cs="Times New Roman"/>
                <w:sz w:val="40"/>
                <w:szCs w:val="40"/>
              </w:rPr>
              <w:t xml:space="preserve"> района Саратовской области»»</w:t>
            </w:r>
          </w:p>
          <w:p w:rsidR="00E0163E" w:rsidRPr="003B65EB" w:rsidRDefault="003B65EB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Комиссаренко Л. Н.</w:t>
            </w: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0163E" w:rsidRPr="003B65EB" w:rsidRDefault="00E0163E" w:rsidP="00E0163E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E3FBF" w:rsidRDefault="002E3FBF" w:rsidP="00F54F1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B65EB" w:rsidRPr="003B65EB" w:rsidRDefault="003B65EB" w:rsidP="00F54F1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E3FBF" w:rsidRPr="003B65EB" w:rsidRDefault="002E3FBF" w:rsidP="002E3FBF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0163E" w:rsidRPr="003B65EB" w:rsidRDefault="00E0163E" w:rsidP="00E0163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65EB">
              <w:rPr>
                <w:rFonts w:ascii="Times New Roman" w:hAnsi="Times New Roman" w:cs="Times New Roman"/>
                <w:sz w:val="40"/>
                <w:szCs w:val="40"/>
              </w:rPr>
              <w:t>2012 – 2013 учебный год</w:t>
            </w:r>
          </w:p>
          <w:p w:rsidR="00E0163E" w:rsidRPr="003B65EB" w:rsidRDefault="00E0163E" w:rsidP="00E0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A7" w:rsidRPr="003B65EB" w:rsidRDefault="005776A7" w:rsidP="00E016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</w:t>
            </w:r>
          </w:p>
          <w:p w:rsidR="005776A7" w:rsidRPr="003B65EB" w:rsidRDefault="005776A7" w:rsidP="00E0163E">
            <w:pPr>
              <w:keepNext/>
              <w:tabs>
                <w:tab w:val="num" w:pos="1440"/>
                <w:tab w:val="left" w:pos="5520"/>
              </w:tabs>
              <w:spacing w:after="0" w:line="240" w:lineRule="auto"/>
              <w:ind w:left="4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1" w:name="_Toc235022131"/>
            <w:r w:rsidRPr="003B65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Общие сведения о школе</w:t>
            </w:r>
            <w:bookmarkEnd w:id="1"/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доклад директора школы – это  информация о деятельности школы, о достигнутых ею результатах образования, планах и перспективах</w:t>
            </w:r>
            <w:r w:rsidR="000A2210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развития, анализ работы школы.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доклада я адресую, прежде всего, родителям, чьи дети обучаются в школе или скоро пойдут учиться. Вы сможете ознакомиться  с укладом и традициями нашей школы, условиями обучения и воспитания, реализуемыми образовательными программами.</w:t>
            </w:r>
          </w:p>
          <w:p w:rsidR="005776A7" w:rsidRPr="003B65EB" w:rsidRDefault="005776A7" w:rsidP="000A221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результатах, основных проблемах функционирования и перспективах развития школы адресовано также нашему учредителю, местной общественности, органам местного самоуправления.</w:t>
            </w:r>
          </w:p>
          <w:p w:rsidR="005776A7" w:rsidRPr="003B65EB" w:rsidRDefault="003B65EB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делает все, чтобы подготовить человека не только знающего, но и, в большей степени, способного применять знания на практике, готового к непрерывному самообразованию, владеющего способами сохранения и развития себя как личности. Такой человек будет готов к активному участию в процессе современного общественного развития.</w:t>
            </w:r>
          </w:p>
          <w:p w:rsidR="005776A7" w:rsidRPr="003B65EB" w:rsidRDefault="003B65EB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работы школы:</w:t>
            </w:r>
          </w:p>
          <w:p w:rsidR="005776A7" w:rsidRPr="003B65EB" w:rsidRDefault="005776A7" w:rsidP="003B65EB">
            <w:pPr>
              <w:pStyle w:val="ac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реализованы права каждого учащегося на получение качественного образования в соответствии с его потребностями и возможностями;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усовершенствовалась система обучения, направленная на углубление личностно-ориентированного образования и профессиональной ориентации, продолжился отбор содержания школьного компонента в учебном плане школы, отбор методик и технологий, способствующих формированию практических навыков школьников;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увеличилось время для самостоятельной и исследовательской работы школьников (реферирование, проектная, исследовательская и экспериментальная деятельность);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расширились возможности дополнительного образования;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усовершенствовалась система работы школы, направленная на сохранение здоровья учащихся, привитие навыков здорового образа жизни;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продолжилось укрепление материально - технической базы школы;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      школа работала над обеспечением необходимой базовой подготовки учащихся по основным направлениям применения информационных и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коммуникационных технологий;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усовершенствовалась система воспитательной работы за счет внедрения новых воспитательных технологий, расширения сети дополнительного образования, привлечения родительской общественности, совершенствования самоуправления школы;</w:t>
            </w:r>
          </w:p>
          <w:p w:rsidR="00E0163E" w:rsidRPr="003B65EB" w:rsidRDefault="005776A7" w:rsidP="003B65EB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      сделан анализ достигнутых результатов и определены перспективы дальнейшего развития школы.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школа функционирует как общеобразовательное учреж</w:t>
            </w:r>
            <w:r w:rsidR="00CF31E4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дение, в котором сформировано 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5776A7" w:rsidRPr="003B65EB" w:rsidRDefault="00CF31E4" w:rsidP="005776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первой ступени – 1 клас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котором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обучается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="005776A7" w:rsidRPr="003B65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человек;</w:t>
            </w:r>
          </w:p>
          <w:p w:rsidR="005776A7" w:rsidRPr="003B65EB" w:rsidRDefault="00CF31E4" w:rsidP="005776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ступени – 4 класса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 количеством обучающихся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</w:t>
            </w:r>
          </w:p>
          <w:p w:rsidR="005776A7" w:rsidRPr="003B65EB" w:rsidRDefault="005776A7" w:rsidP="003B6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 Режим работы школы:</w:t>
            </w:r>
          </w:p>
          <w:p w:rsidR="005776A7" w:rsidRPr="003B65EB" w:rsidRDefault="00CF31E4" w:rsidP="00577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5-ти дневная учебная неделя в 1</w:t>
            </w:r>
            <w:r w:rsidR="00E8685A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классе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6-ти дневная учебная неделя </w:t>
            </w:r>
            <w:r w:rsidR="00E8685A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2 – 9 классах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уроков для 1-го класса 35 мин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полугодии и по 45 мин. во 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полугодии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2 – 9 классах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45 минут. 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занятий в 8.30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1-ый урок  8.30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9.15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          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2-ой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 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2F28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9.25 – 10.10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3-ий         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10.20 -11.05</w:t>
            </w:r>
          </w:p>
          <w:p w:rsidR="004B2F28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4-ый         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.35 - 12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5-ый       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 12.30.-13.15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6-ой         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13.25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BF51C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  <w:p w:rsidR="005776A7" w:rsidRPr="003B65EB" w:rsidRDefault="004B2F28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76A7" w:rsidRPr="003B65EB" w:rsidRDefault="00BF51CF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работает в одну смену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школе обучаются дети из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населенных пунктов: с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калово и с. </w:t>
            </w: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Кавелинка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 школу приезжают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на школьной газели. Большое внимание в школе уделяется организации горячего питания, которым охвачены 94% учащиеся.</w:t>
            </w:r>
          </w:p>
          <w:p w:rsidR="00BF51CF" w:rsidRPr="003B65EB" w:rsidRDefault="005776A7" w:rsidP="00BF51CF">
            <w:pPr>
              <w:spacing w:before="100" w:beforeAutospacing="1" w:after="100" w:afterAutospacing="1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Основным документом, регламентирующим деятельность школы, являлся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план школы.</w:t>
            </w:r>
            <w:r w:rsidR="00BF51C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5776A7" w:rsidRPr="003B65EB" w:rsidRDefault="005776A7" w:rsidP="00BF51CF">
            <w:pPr>
              <w:spacing w:before="100" w:beforeAutospacing="1" w:after="100" w:afterAutospacing="1" w:line="288" w:lineRule="auto"/>
              <w:ind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0163E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с обучающимися  педагогический коллектив руководствуется Законом РФ «Об образовании», Типовым положением об общеобразовательном учреждении, Уставом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школы, методическими письмами,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="00BF51C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комендациями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приказами Министерства  образования области</w:t>
            </w:r>
            <w:r w:rsidR="00BF51C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</w:t>
            </w:r>
            <w:proofErr w:type="spellStart"/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BF51C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внутренними приказами, в которых определен круг регулируемых вопросов о правах и обязанностях участников образовательного процесса. </w:t>
            </w:r>
            <w:proofErr w:type="gramEnd"/>
          </w:p>
          <w:p w:rsidR="00E0163E" w:rsidRPr="003B65EB" w:rsidRDefault="005776A7" w:rsidP="00490C07">
            <w:pPr>
              <w:spacing w:before="100" w:beforeAutospacing="1" w:after="100" w:afterAutospacing="1" w:line="288" w:lineRule="auto"/>
              <w:ind w:left="-142" w:firstLine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</w:p>
          <w:p w:rsidR="00E0163E" w:rsidRPr="003B65EB" w:rsidRDefault="005776A7" w:rsidP="00490C07">
            <w:pPr>
              <w:spacing w:before="100" w:beforeAutospacing="1" w:after="100" w:afterAutospacing="1" w:line="288" w:lineRule="auto"/>
              <w:ind w:left="-142" w:firstLine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«ООШ с. Чкалово»  работает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61064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учителей,  в том </w:t>
            </w:r>
            <w:r w:rsidR="00E0163E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 руководящих </w:t>
            </w:r>
          </w:p>
          <w:p w:rsidR="00490C07" w:rsidRPr="003B65EB" w:rsidRDefault="00490C07" w:rsidP="00490C07">
            <w:pPr>
              <w:spacing w:before="100" w:beforeAutospacing="1" w:after="100" w:afterAutospacing="1" w:line="288" w:lineRule="auto"/>
              <w:ind w:left="-142" w:firstLine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47ED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 – 1.</w:t>
            </w:r>
          </w:p>
          <w:p w:rsidR="005776A7" w:rsidRPr="003B65EB" w:rsidRDefault="00490C07" w:rsidP="005776A7">
            <w:pPr>
              <w:spacing w:before="100" w:beforeAutospacing="1" w:after="100" w:afterAutospacing="1" w:line="288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76A7"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труктура управления школой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 Управление школой осуществляется на нескольких уровнях.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стратегическом уровне школой руководит Родительский комитет, в которые входят   родители учеников школы  заинтересованные в реализации миссии школы.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оперативном уровне школой руководит директор и Педагогический совет.           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уровне самоуправления учащихся ведущая роль принадлежит школьному совету учащихся и Совету актива, включающему представителей всех 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управление представляет собой целенаправленное 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сотрудничества администрации школы и всех участников педагогического процесса по достижению поставленных целей. 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работающими коллегиальными органами в школе  являются педагогический совет   и методический совет, который в свою очередь опирается на работу методических объединений. Педагогический совет в этом учебном году рассматривал различные  вопросы, освещающие стратегические и тактические проблемы развития школы  и организации учебно-воспитательного процесса - это такие как:</w:t>
            </w:r>
          </w:p>
          <w:p w:rsidR="005776A7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        Педагогические условия обеспечения качест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ва подготовки выпускников к ГИА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6A7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 Исследовательская деятельность учащихся в современном образовательном пространстве. </w:t>
            </w:r>
          </w:p>
          <w:p w:rsidR="005776A7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Федеральный государственный образовательный стандарт второго поколения: преемственность и </w:t>
            </w: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6A7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Учебно-методическое и нормативное обеспечение образовательного процесс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 в 2012-2013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чебном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90C0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оду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 </w:t>
            </w:r>
          </w:p>
          <w:p w:rsidR="005776A7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  О подходах к разработке и утверждению рабочих прог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рамм учебных курсов, предметов.</w:t>
            </w:r>
          </w:p>
          <w:p w:rsidR="00013551" w:rsidRPr="003B65EB" w:rsidRDefault="005776A7" w:rsidP="005776A7">
            <w:pPr>
              <w:spacing w:after="0" w:line="288" w:lineRule="auto"/>
              <w:ind w:left="128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орядок аттестации педагогических работников государственных и муниципальн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ых образовательных учреждений.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013551" w:rsidRPr="003B65EB" w:rsidRDefault="00013551" w:rsidP="005776A7">
            <w:pPr>
              <w:pStyle w:val="ac"/>
              <w:numPr>
                <w:ilvl w:val="0"/>
                <w:numId w:val="4"/>
              </w:numPr>
              <w:spacing w:after="0" w:line="288" w:lineRule="auto"/>
              <w:ind w:left="1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ля развития одаренных учащихся.</w:t>
            </w:r>
          </w:p>
          <w:p w:rsidR="005776A7" w:rsidRPr="003B65EB" w:rsidRDefault="00013551" w:rsidP="00E0163E">
            <w:pPr>
              <w:pStyle w:val="ac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ФГОС НОО в первом классе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2012-2013 учебном году.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На заседаниях методического совета школы были рассмотрены следующие вопросы: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работе  с наиболее </w:t>
            </w:r>
            <w:r w:rsidR="003B65EB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подготовленными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и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со слабоуспевающими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13551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76A7" w:rsidRPr="003B65EB" w:rsidRDefault="00013551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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Изучение рекомендаций по  представлению   документов на награждение педагогических работников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               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школьного тура предметных олимпиад  </w:t>
            </w:r>
          </w:p>
          <w:p w:rsidR="005776A7" w:rsidRPr="003B65EB" w:rsidRDefault="00461064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</w:t>
            </w:r>
          </w:p>
          <w:p w:rsidR="005776A7" w:rsidRPr="003B65EB" w:rsidRDefault="00013551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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 Проведение диагностических работ (анализ, план работы учителе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 по устранению пробелов в знаниях учащихся) 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Изучение нормативно – правовой базы итоговой аттестации.</w:t>
            </w:r>
          </w:p>
          <w:p w:rsidR="005776A7" w:rsidRPr="003B65EB" w:rsidRDefault="005776A7" w:rsidP="005776A7">
            <w:pPr>
              <w:spacing w:after="0" w:line="21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Мониторинговые исследования.</w:t>
            </w:r>
          </w:p>
          <w:p w:rsidR="005776A7" w:rsidRPr="003B65EB" w:rsidRDefault="005776A7" w:rsidP="00461064">
            <w:pPr>
              <w:spacing w:after="0" w:line="21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</w:t>
            </w:r>
            <w:r w:rsidR="00461064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День открытых дверей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Обсуждение результатов пробных  тестирований по предметам итоговой аттестации. Организация повторения изученного материала.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</w:t>
            </w:r>
            <w:r w:rsidR="00461064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сдачи ГИА в 2013 году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6A7" w:rsidRPr="003B65EB" w:rsidRDefault="005776A7" w:rsidP="005776A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Оказание методической помощи в составлении рабочих программ по предметам в соответствии с</w:t>
            </w:r>
            <w:r w:rsidR="00461064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второго поколения для 1класса</w:t>
            </w:r>
          </w:p>
          <w:p w:rsidR="005776A7" w:rsidRPr="003B65EB" w:rsidRDefault="00461064" w:rsidP="002E3FB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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8C6475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Анализ кадровых условий школы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4536"/>
            </w:tblGrid>
            <w:tr w:rsidR="005776A7" w:rsidRPr="003B65EB" w:rsidTr="00CF710C">
              <w:tc>
                <w:tcPr>
                  <w:tcW w:w="46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Возраст педагогического состава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2012-2013</w:t>
                  </w:r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</w:t>
                  </w:r>
                  <w:proofErr w:type="gram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.г</w:t>
                  </w:r>
                  <w:proofErr w:type="gramEnd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="005776A7" w:rsidRPr="003B65EB" w:rsidTr="00CF710C">
              <w:tc>
                <w:tcPr>
                  <w:tcW w:w="4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 25 лет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776A7" w:rsidRPr="003B65EB" w:rsidTr="00CF710C">
              <w:tc>
                <w:tcPr>
                  <w:tcW w:w="4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25-40 лет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776A7" w:rsidRPr="003B65EB" w:rsidTr="00CF710C">
              <w:tc>
                <w:tcPr>
                  <w:tcW w:w="4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40-55 лет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5776A7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 </w:t>
                  </w:r>
                </w:p>
              </w:tc>
            </w:tr>
            <w:tr w:rsidR="005776A7" w:rsidRPr="003B65EB" w:rsidTr="00CF710C">
              <w:tc>
                <w:tcPr>
                  <w:tcW w:w="46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 и выше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Образовательный ценз  педагогов школы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7"/>
              <w:gridCol w:w="4573"/>
            </w:tblGrid>
            <w:tr w:rsidR="005776A7" w:rsidRPr="003B65EB" w:rsidTr="00CF710C">
              <w:tc>
                <w:tcPr>
                  <w:tcW w:w="46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4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2012-2013</w:t>
                  </w:r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</w:t>
                  </w:r>
                  <w:proofErr w:type="gram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.г</w:t>
                  </w:r>
                  <w:proofErr w:type="gramEnd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="005776A7" w:rsidRPr="003B65EB" w:rsidTr="00CF710C">
              <w:tc>
                <w:tcPr>
                  <w:tcW w:w="4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5776A7" w:rsidRPr="003B65EB" w:rsidTr="00CF710C">
              <w:tc>
                <w:tcPr>
                  <w:tcW w:w="4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средне-специальное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776A7" w:rsidRPr="003B65EB" w:rsidTr="00CF710C">
              <w:tc>
                <w:tcPr>
                  <w:tcW w:w="46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 педагогического образования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5776A7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(средне-специальное)</w:t>
                  </w: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Квалификация педагогов школы</w:t>
            </w:r>
          </w:p>
          <w:tbl>
            <w:tblPr>
              <w:tblW w:w="0" w:type="auto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2306"/>
              <w:gridCol w:w="2306"/>
            </w:tblGrid>
            <w:tr w:rsidR="005776A7" w:rsidRPr="003B65EB" w:rsidTr="00CF710C">
              <w:trPr>
                <w:trHeight w:val="315"/>
              </w:trPr>
              <w:tc>
                <w:tcPr>
                  <w:tcW w:w="44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категория/разряд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2012-2013</w:t>
                  </w:r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</w:t>
                  </w:r>
                  <w:proofErr w:type="gramStart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.г</w:t>
                  </w:r>
                  <w:proofErr w:type="gramEnd"/>
                  <w:r w:rsidR="005776A7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="005776A7" w:rsidRPr="003B65EB" w:rsidTr="00CF710C">
              <w:trPr>
                <w:trHeight w:val="453"/>
              </w:trPr>
              <w:tc>
                <w:tcPr>
                  <w:tcW w:w="44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76A7" w:rsidRPr="003B65EB" w:rsidRDefault="005776A7" w:rsidP="0057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461064">
                  <w:pPr>
                    <w:spacing w:before="100" w:beforeAutospacing="1" w:after="100" w:afterAutospacing="1" w:line="288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461064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</w:tr>
            <w:tr w:rsidR="005776A7" w:rsidRPr="003B65EB" w:rsidTr="00CF710C">
              <w:tc>
                <w:tcPr>
                  <w:tcW w:w="4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8C6475">
                  <w:pPr>
                    <w:spacing w:before="100" w:beforeAutospacing="1" w:after="100" w:afterAutospacing="1" w:line="288" w:lineRule="auto"/>
                    <w:ind w:left="24" w:hanging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высшая</w:t>
                  </w:r>
                  <w:proofErr w:type="gram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(14 разряд)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461064">
                  <w:pPr>
                    <w:spacing w:before="100" w:beforeAutospacing="1" w:after="100" w:afterAutospacing="1" w:line="288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8C6475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776A7" w:rsidRPr="003B65EB" w:rsidTr="00CF710C">
              <w:tc>
                <w:tcPr>
                  <w:tcW w:w="4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первая (13 разряд)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461064">
                  <w:pPr>
                    <w:spacing w:before="100" w:beforeAutospacing="1" w:after="100" w:afterAutospacing="1" w:line="288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8C6475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44,4</w:t>
                  </w:r>
                </w:p>
              </w:tc>
            </w:tr>
            <w:tr w:rsidR="005776A7" w:rsidRPr="003B65EB" w:rsidTr="00CF710C">
              <w:tc>
                <w:tcPr>
                  <w:tcW w:w="449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вторая (12 разряд)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461064">
                  <w:pPr>
                    <w:spacing w:before="100" w:beforeAutospacing="1" w:after="100" w:afterAutospacing="1" w:line="288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8C6475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61064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22,2</w:t>
                  </w:r>
                </w:p>
              </w:tc>
            </w:tr>
            <w:tr w:rsidR="005776A7" w:rsidRPr="003B65EB" w:rsidTr="00CF710C">
              <w:tc>
                <w:tcPr>
                  <w:tcW w:w="4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Молодые специалисты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461064" w:rsidP="00461064">
                  <w:pPr>
                    <w:spacing w:before="100" w:beforeAutospacing="1" w:after="100" w:afterAutospacing="1" w:line="288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8C6475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461064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8C07FD" w:rsidRPr="003B65EB" w:rsidRDefault="008C07FD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Стаж работы педагогов школы</w:t>
            </w:r>
          </w:p>
          <w:tbl>
            <w:tblPr>
              <w:tblW w:w="0" w:type="auto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2219"/>
              <w:gridCol w:w="2354"/>
            </w:tblGrid>
            <w:tr w:rsidR="005776A7" w:rsidRPr="003B65EB" w:rsidTr="00CF710C">
              <w:trPr>
                <w:trHeight w:val="390"/>
              </w:trPr>
              <w:tc>
                <w:tcPr>
                  <w:tcW w:w="4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6475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776A7" w:rsidRPr="003B65EB" w:rsidRDefault="008C6475" w:rsidP="008C6475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стаж</w:t>
                  </w:r>
                </w:p>
              </w:tc>
              <w:tc>
                <w:tcPr>
                  <w:tcW w:w="45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8C6475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</w:t>
                  </w:r>
                  <w:r w:rsidR="008C6475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-201</w:t>
                  </w:r>
                  <w:r w:rsidR="008C6475"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</w:t>
                  </w:r>
                  <w:proofErr w:type="gramStart"/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.г</w:t>
                  </w:r>
                  <w:proofErr w:type="gramEnd"/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="005776A7" w:rsidRPr="003B65EB" w:rsidTr="00CF710C">
              <w:trPr>
                <w:trHeight w:val="270"/>
              </w:trPr>
              <w:tc>
                <w:tcPr>
                  <w:tcW w:w="4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776A7" w:rsidRPr="003B65EB" w:rsidRDefault="005776A7" w:rsidP="0057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Количество 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</w:tr>
            <w:tr w:rsidR="005776A7" w:rsidRPr="003B65EB" w:rsidTr="00CF710C"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 5   лет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8C6475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22</w:t>
                  </w:r>
                </w:p>
              </w:tc>
            </w:tr>
            <w:tr w:rsidR="005776A7" w:rsidRPr="003B65EB" w:rsidTr="00CF710C"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5 до 10 лет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776A7" w:rsidRPr="003B65EB" w:rsidTr="00CF710C"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10 до 20 лет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5776A7" w:rsidRPr="003B65EB" w:rsidTr="00CF710C"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20-40 лет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</w:tr>
            <w:tr w:rsidR="005776A7" w:rsidRPr="003B65EB" w:rsidTr="00CF710C">
              <w:tc>
                <w:tcPr>
                  <w:tcW w:w="4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свыше 40 лет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8C6475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1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Материальные условия нашей школы  способствуют внедрению современных образовательных, в том числе информационных, технологий в учебно-воспитательный процесс. 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        Значительная часть учителей  регулярно использует ИКТ для  решения  задач школьного планирования,   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могут 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подготовить урок с использованием ИКТ,  подобрать программное обеспечение для учебных целей.  Все школьные документы и планы го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товятся в электронном виде,  7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учителей уверенно и  регул</w:t>
            </w:r>
            <w:r w:rsidR="00A840D0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ярно используют И</w:t>
            </w:r>
            <w:proofErr w:type="gramStart"/>
            <w:r w:rsidR="00A840D0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КТ  в св</w:t>
            </w:r>
            <w:proofErr w:type="gramEnd"/>
            <w:r w:rsidR="00A840D0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оей   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деяте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льности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    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  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используют компьютерные технологии  при проведении открытых уроков.</w:t>
            </w:r>
          </w:p>
          <w:p w:rsidR="00EF4016" w:rsidRPr="003B65EB" w:rsidRDefault="005776A7" w:rsidP="003B65EB">
            <w:pPr>
              <w:spacing w:before="100" w:beforeAutospacing="1" w:after="100" w:afterAutospacing="1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 Учителя нашей школы   используют на своих уроках компьютерную продукцию, а также  сами создают презентации для урока.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 принимают обучающие школы  в конкурсах, олимпиадах, конференциях с применением ИКТ.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Самообразование учителя есть необходимое условие профессиональной деятельности педагога. Для того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учить других, нужно знать больше, чем все остальные. 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должен знать не только свой предмет, 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  Учитель должен учиться всему постоянно, потому что в лицах его учеников перед  ним каждый год сменяются временные этапы, углубляются и даже меняются представления об окружающем мире.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 и прохождение курсов повышения квалификации.</w:t>
            </w:r>
            <w:r w:rsidRPr="003B65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учебном году курсы</w:t>
            </w:r>
            <w:r w:rsidR="00EF4016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квалификации прошли </w:t>
            </w:r>
            <w:r w:rsidR="00CF710C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4 учителя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76A7" w:rsidRPr="003B65EB" w:rsidRDefault="00CF710C" w:rsidP="00CF710C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Мария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Анатольевна – «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ФГОСа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общего образования в процессе</w:t>
            </w:r>
            <w:r w:rsidR="009404C3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преподавания русского языка и литературы»;</w:t>
            </w:r>
          </w:p>
          <w:p w:rsidR="005776A7" w:rsidRPr="003B65EB" w:rsidRDefault="00A840D0" w:rsidP="00A840D0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Каширина Елена Константиновн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5560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5560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«Теория и методика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</w:t>
            </w:r>
            <w:r w:rsidR="00C5560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математики в рамках реализации </w:t>
            </w:r>
            <w:proofErr w:type="spellStart"/>
            <w:r w:rsidR="00C5560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ФГОСа</w:t>
            </w:r>
            <w:proofErr w:type="spellEnd"/>
            <w:r w:rsidR="00C5560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5776A7" w:rsidRPr="003B65EB" w:rsidRDefault="005776A7" w:rsidP="00E51E6D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E51E6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Каширина Любовь Анатольевна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E51E6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 требований ФГОС. Начальное общее образование.  Достижение планируемых результатов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";</w:t>
            </w:r>
          </w:p>
          <w:p w:rsidR="005776A7" w:rsidRPr="003B65EB" w:rsidRDefault="00326402" w:rsidP="008C07FD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 Комиссаренко Людмила Николаевна «Преподавание истории и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обществознания в основной школе с учётом требований ФГОС основного общего образования»</w:t>
            </w:r>
            <w:r w:rsidR="008C07F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школы в течение учебного года посещали мероприятия различного уровня:  круглые столы, конфере</w:t>
            </w:r>
            <w:r w:rsidR="008C07FD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нции, семинары, открытые уроки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  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недели педагогического мастерства учителя делились опытом, своими наработками, давали открытые уроки:</w:t>
            </w:r>
          </w:p>
          <w:tbl>
            <w:tblPr>
              <w:tblW w:w="0" w:type="auto"/>
              <w:tblInd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9"/>
              <w:gridCol w:w="850"/>
              <w:gridCol w:w="5808"/>
            </w:tblGrid>
            <w:tr w:rsidR="005776A7" w:rsidRPr="003B65EB" w:rsidTr="002E3FBF">
              <w:trPr>
                <w:trHeight w:val="471"/>
              </w:trPr>
              <w:tc>
                <w:tcPr>
                  <w:tcW w:w="217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 учителя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5776A7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58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76A7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Предмет </w:t>
                  </w:r>
                </w:p>
              </w:tc>
            </w:tr>
            <w:tr w:rsidR="008C07FD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8C07FD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Акчурина</w:t>
                  </w:r>
                  <w:proofErr w:type="spell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Р.Р.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8C07FD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8C07FD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Алдохина</w:t>
                  </w:r>
                  <w:proofErr w:type="spell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FD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</w:tr>
            <w:tr w:rsidR="002E3FBF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Карбовская</w:t>
                  </w:r>
                  <w:proofErr w:type="spell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</w:tr>
            <w:tr w:rsidR="002E3FBF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Каширина Л.А.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2E3FBF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Каширина Е.К.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2E3FBF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Комиссаренко Л.Н.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Обществознание </w:t>
                  </w:r>
                </w:p>
              </w:tc>
            </w:tr>
            <w:tr w:rsidR="002E3FBF" w:rsidRPr="003B65EB" w:rsidTr="002E3FBF">
              <w:trPr>
                <w:trHeight w:val="392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Монахова</w:t>
                  </w:r>
                  <w:proofErr w:type="spell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</w:tr>
            <w:tr w:rsidR="002E3FBF" w:rsidRPr="003B65EB" w:rsidTr="002E3FBF">
              <w:trPr>
                <w:trHeight w:val="395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Неяскин</w:t>
                  </w:r>
                  <w:proofErr w:type="spellEnd"/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Ю.П.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5776A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</w:tr>
          </w:tbl>
          <w:p w:rsidR="005776A7" w:rsidRPr="003B65EB" w:rsidRDefault="003B65EB" w:rsidP="003B65EB">
            <w:pPr>
              <w:spacing w:before="100" w:beforeAutospacing="1" w:after="100" w:afterAutospacing="1" w:line="288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  условий для развития и реализации способностей детей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Школа  должна научить каждого ученика жить в мире, постоянно и быстро меняющемся. Анализ различных подходов к решению этой сложной проблемы показывал, что один из реальных путей - включение учащихся в исследовательскую работу.  Так как именно она в наибольшей степени способствует подготовке учащихся к жизни в современном мире.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Следует подчеркнуть, что возникла не только острая потребность, но и появились объективные предпосылки для включения школьников в исследовательскую деятельность непосредственно в школе.  Эта  деятельность важна  для нынешнего поколения в силу его динамичности, высокой технологичности и неизменной детской любознательности. 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школа ориентирована на обучение, воспитание и развитие всех и каждого обучающегося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максимально благоприятных условий для умственного, нравственного, эмоционального и физического развития каждого ребенка, поэтому  педагогический  коллектив школы  на следующий учебный год ставит перед собой</w:t>
            </w:r>
            <w:proofErr w:type="gram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76A7" w:rsidRPr="003B65EB" w:rsidRDefault="005776A7" w:rsidP="005776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мышления, умения и навыков самостоятельной работы.</w:t>
            </w:r>
          </w:p>
          <w:p w:rsidR="005776A7" w:rsidRPr="003B65EB" w:rsidRDefault="005776A7" w:rsidP="005776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учащихся к исследовательской, экспериментально 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      </w:r>
          </w:p>
          <w:p w:rsidR="005776A7" w:rsidRPr="003B65EB" w:rsidRDefault="005776A7" w:rsidP="005776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условий для развития и реализации способностей детей;</w:t>
            </w:r>
          </w:p>
          <w:p w:rsidR="005776A7" w:rsidRPr="003B65EB" w:rsidRDefault="005776A7" w:rsidP="005776A7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В школе созданы условия для участия обучающихся в олимпи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адах школьного, муниципального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уровней, заочных олимпиадах и конкурсах «Кенгу</w:t>
            </w:r>
            <w:r w:rsidR="002E3FBF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ру»,   «Русский медвежонок», «КИТ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»,   «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 , «ЧИП», «Золотое руно» и т.д.</w:t>
            </w:r>
            <w:r w:rsidR="00F54F10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Учащиеся начальных классов приняли участие во Всероссийской викторине «Эрудит» по  литературному чтению.</w:t>
            </w:r>
          </w:p>
          <w:p w:rsidR="00F54F10" w:rsidRPr="003B65EB" w:rsidRDefault="00F54F10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октябре проводились школьные предметные олимпиады по русскому языку, литературе, математике, химии, истории, биологии, физике, физической культуре, английскому языку,   информатике, географии, основам безопасности жизнедеятельности   в которых приняли участие 14 человек (88% учащихся с 6 по 9 класс).  В марте прошли олимпиады  по русскому языку и математике  среди учащихся начальных классов. </w:t>
            </w:r>
          </w:p>
          <w:p w:rsidR="002E3FBF" w:rsidRPr="003B65EB" w:rsidRDefault="002E3FBF" w:rsidP="002E3FBF">
            <w:pPr>
              <w:spacing w:before="100" w:beforeAutospacing="1" w:after="100" w:afterAutospacing="1" w:line="288" w:lineRule="auto"/>
              <w:ind w:lef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Замечательной традицией стало участие обучающихся школы   в играх-конкурсах «Русский медвежонок»,   «Кенгуру»,   «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», «ЧИП», «КИТ», «Золотое руно»,  где у детей с высоким уровнем учебной мотивации есть дополнительная возможность сравнить свои знания и умения не только со своими одноклассниками, но и со сверстниками региона и России, что, в свою очередь, независимо от результата, является вкладом в дальнейшее успешное обучение.</w:t>
            </w:r>
            <w:proofErr w:type="gramEnd"/>
          </w:p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  конкурс по информатике «КИТ – компьютеры, информатика, технологии»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3686"/>
            </w:tblGrid>
            <w:tr w:rsidR="002E3FBF" w:rsidRPr="003B65EB" w:rsidTr="000E7654"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человек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Всероссийский  конкурс по английскому языку «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3686"/>
            </w:tblGrid>
            <w:tr w:rsidR="002E3FBF" w:rsidRPr="003B65EB" w:rsidTr="000E7654"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человек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  конкурс по русскому языку «Русский медвежонок»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3686"/>
            </w:tblGrid>
            <w:tr w:rsidR="002E3FBF" w:rsidRPr="003B65EB" w:rsidTr="000E7654"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человек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Альбус</w:t>
            </w:r>
            <w:proofErr w:type="spellEnd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5"/>
              <w:gridCol w:w="2410"/>
              <w:gridCol w:w="4668"/>
            </w:tblGrid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Предмет 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Кол-во участников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участника-1,                                     диплом  лауреата -2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участника-1,                                     диплом  лауреата -1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диплом  участника-1,                                     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диплом  участника-1,                                      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участника-1,                                     диплом  лауреата -3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участника-3,                                     диплом  лауреата 6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диплом  участника-5,                                      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участника-2,                                     диплом  лауреата -6</w:t>
                  </w:r>
                </w:p>
              </w:tc>
            </w:tr>
            <w:tr w:rsidR="002E3FBF" w:rsidRPr="003B65EB" w:rsidTr="002E3FBF">
              <w:tc>
                <w:tcPr>
                  <w:tcW w:w="2385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2410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68" w:type="dxa"/>
                </w:tcPr>
                <w:p w:rsidR="002E3FBF" w:rsidRPr="003B65EB" w:rsidRDefault="002E3FBF" w:rsidP="002E3FBF">
                  <w:pPr>
                    <w:spacing w:before="100" w:beforeAutospacing="1" w:after="100" w:afterAutospacing="1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участника-</w:t>
                  </w:r>
                  <w:r w:rsidR="00F54F10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15                               </w:t>
                  </w: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 лауреата</w:t>
                  </w:r>
                  <w:r w:rsidR="00F54F10"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- 18</w:t>
                  </w:r>
                </w:p>
              </w:tc>
            </w:tr>
          </w:tbl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FBF" w:rsidRPr="003B65EB" w:rsidRDefault="002E3FBF" w:rsidP="002E3FBF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Приняли участие в тестировании «Мониторинг» и «Кенгуру – выпускникам»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3686"/>
            </w:tblGrid>
            <w:tr w:rsidR="002E3FBF" w:rsidRPr="003B65EB" w:rsidTr="000E7654">
              <w:tc>
                <w:tcPr>
                  <w:tcW w:w="18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человек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2E3FBF">
                  <w:pPr>
                    <w:tabs>
                      <w:tab w:val="center" w:pos="796"/>
                    </w:tabs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E3FBF" w:rsidRPr="003B65EB" w:rsidTr="000E7654">
              <w:tc>
                <w:tcPr>
                  <w:tcW w:w="18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3FBF" w:rsidRPr="003B65EB" w:rsidRDefault="002E3FBF" w:rsidP="000E7654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 обучающиеся школы  активно принимают участие во всех творческих конкурсах, проводимых  на муниципальном и региональном уровнях.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        Продолжить целенаправленную систематическую работу по развитию у учащихся   творческих, интеллектуальных и коммуникативных способностей через организацию различных форм работы (участие в предметных олимпиадах, интеллектуальном марафоне, играх-конкурсах «Русский медвежонок», «Кенгуру» и т.д.)  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Уделять  внимание индивидуальной работе с мотивированными  учащимися для наиболее полного развития их способностей.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928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        Отработка системы участия в олимпиадах, конкурсах, конференциях через систему дистанционного образования.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  результатов  образовательного процесса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Формы организации учебного процесса в 201</w:t>
            </w:r>
            <w:r w:rsidR="00252F48"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-201</w:t>
            </w:r>
            <w:r w:rsidR="00252F48"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учебном году: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Уроки                                                                                   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Экскурсии 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Открытые уроки                                                      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Олимпиады </w:t>
            </w:r>
          </w:p>
          <w:p w:rsidR="005776A7" w:rsidRPr="003B65EB" w:rsidRDefault="005776A7" w:rsidP="00252F48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Конкурсы 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     Индивидуальные занятия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     Консультации по предмету                                                </w:t>
            </w:r>
          </w:p>
          <w:p w:rsidR="005776A7" w:rsidRPr="003B65EB" w:rsidRDefault="005776A7" w:rsidP="005776A7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     Фестивали наук</w:t>
            </w:r>
          </w:p>
          <w:p w:rsidR="005776A7" w:rsidRPr="003B65EB" w:rsidRDefault="005776A7" w:rsidP="00C36162">
            <w:pPr>
              <w:spacing w:after="0" w:line="288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     Практическая конференция </w:t>
            </w:r>
          </w:p>
          <w:p w:rsidR="005776A7" w:rsidRPr="003B65EB" w:rsidRDefault="000E7654" w:rsidP="00C36162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Уровень качества знаний и успеваемости по ступеням</w:t>
            </w:r>
          </w:p>
          <w:tbl>
            <w:tblPr>
              <w:tblW w:w="80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1701"/>
              <w:gridCol w:w="1701"/>
              <w:gridCol w:w="1559"/>
              <w:gridCol w:w="1722"/>
            </w:tblGrid>
            <w:tr w:rsidR="000E7654" w:rsidRPr="003B65EB" w:rsidTr="00C36162">
              <w:trPr>
                <w:trHeight w:val="380"/>
              </w:trPr>
              <w:tc>
                <w:tcPr>
                  <w:tcW w:w="13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учащихся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36162" w:rsidRPr="003B65EB" w:rsidRDefault="00C36162" w:rsidP="00C3616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Успеваемость </w:t>
                  </w:r>
                </w:p>
                <w:p w:rsidR="000E7654" w:rsidRPr="003B65EB" w:rsidRDefault="000E7654" w:rsidP="00C3616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Обучалось на «4» и «5»</w:t>
                  </w:r>
                </w:p>
              </w:tc>
            </w:tr>
            <w:tr w:rsidR="000E7654" w:rsidRPr="003B65EB" w:rsidTr="00C36162">
              <w:trPr>
                <w:trHeight w:val="394"/>
              </w:trPr>
              <w:tc>
                <w:tcPr>
                  <w:tcW w:w="13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E7654" w:rsidRPr="003B65EB" w:rsidRDefault="000E7654" w:rsidP="0057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7654" w:rsidRPr="003B65EB" w:rsidRDefault="000E7654" w:rsidP="0057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E7654" w:rsidRPr="003B65EB" w:rsidRDefault="000E7654" w:rsidP="0057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-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Качество %  </w:t>
                  </w:r>
                </w:p>
              </w:tc>
            </w:tr>
            <w:tr w:rsidR="000E7654" w:rsidRPr="003B65EB" w:rsidTr="00C36162">
              <w:trPr>
                <w:trHeight w:val="354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2-4 классы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C36162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7654" w:rsidRPr="003B65EB" w:rsidRDefault="00C36162" w:rsidP="00C3616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68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44%</w:t>
                  </w:r>
                </w:p>
              </w:tc>
            </w:tr>
            <w:tr w:rsidR="000E7654" w:rsidRPr="003B65EB" w:rsidTr="00C36162">
              <w:trPr>
                <w:trHeight w:val="521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5-8 классы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C36162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7654" w:rsidRPr="003B65EB" w:rsidRDefault="00C36162" w:rsidP="00C3616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</w:tr>
            <w:tr w:rsidR="000E7654" w:rsidRPr="003B65EB" w:rsidTr="00C36162">
              <w:trPr>
                <w:trHeight w:val="354"/>
              </w:trPr>
              <w:tc>
                <w:tcPr>
                  <w:tcW w:w="1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 классы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C36162">
                  <w:pPr>
                    <w:spacing w:before="100" w:beforeAutospacing="1" w:after="100" w:afterAutospacing="1" w:line="288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7654" w:rsidRPr="003B65EB" w:rsidRDefault="00C36162" w:rsidP="00C3616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7654" w:rsidRPr="003B65EB" w:rsidRDefault="000E7654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50%</w:t>
                  </w: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ind w:lef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776A7" w:rsidRPr="003B65EB" w:rsidRDefault="005776A7" w:rsidP="00C36162">
            <w:pPr>
              <w:tabs>
                <w:tab w:val="left" w:pos="1066"/>
              </w:tabs>
              <w:spacing w:before="100" w:beforeAutospacing="1" w:after="100" w:afterAutospacing="1" w:line="288" w:lineRule="auto"/>
              <w:ind w:left="-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</w:t>
            </w: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Качество знаний учащихся за последние   годы: </w:t>
            </w:r>
          </w:p>
          <w:tbl>
            <w:tblPr>
              <w:tblW w:w="96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  <w:gridCol w:w="2551"/>
              <w:gridCol w:w="3011"/>
              <w:gridCol w:w="1242"/>
            </w:tblGrid>
            <w:tr w:rsidR="00C36162" w:rsidRPr="003B65EB" w:rsidTr="002D70A2"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288" w:lineRule="auto"/>
                    <w:ind w:left="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Успеваемость, %</w:t>
                  </w:r>
                </w:p>
              </w:tc>
              <w:tc>
                <w:tcPr>
                  <w:tcW w:w="3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288" w:lineRule="auto"/>
                    <w:ind w:left="12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Качество знаний, %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</w:tcPr>
                <w:p w:rsidR="00C36162" w:rsidRPr="003B65EB" w:rsidRDefault="00C36162" w:rsidP="00C36162">
                  <w:pPr>
                    <w:spacing w:before="100" w:beforeAutospacing="1" w:after="100" w:afterAutospacing="1" w:line="288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162" w:rsidRPr="003B65EB" w:rsidTr="003B41D7">
              <w:trPr>
                <w:trHeight w:val="295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288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2010-2011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pacing w:before="100" w:beforeAutospacing="1" w:after="100" w:afterAutospacing="1" w:line="288" w:lineRule="auto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162" w:rsidRPr="003B65EB" w:rsidTr="00C36162">
              <w:trPr>
                <w:trHeight w:val="143"/>
              </w:trPr>
              <w:tc>
                <w:tcPr>
                  <w:tcW w:w="2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143" w:lineRule="atLeast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pacing w:before="100" w:beforeAutospacing="1" w:after="100" w:afterAutospacing="1" w:line="143" w:lineRule="atLeast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 w:line="14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6162" w:rsidRPr="003B65EB" w:rsidTr="00C36162">
              <w:trPr>
                <w:trHeight w:val="14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5776A7">
                  <w:pPr>
                    <w:spacing w:before="100" w:beforeAutospacing="1" w:after="100" w:afterAutospacing="1" w:line="143" w:lineRule="atLeast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pacing w:before="100" w:beforeAutospacing="1" w:after="100" w:afterAutospacing="1" w:line="143" w:lineRule="atLeast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 w:line="143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C36162" w:rsidRPr="003B65EB" w:rsidRDefault="00C36162" w:rsidP="00C36162">
                  <w:pPr>
                    <w:shd w:val="clear" w:color="auto" w:fill="FFFFFF"/>
                    <w:spacing w:before="100" w:beforeAutospacing="1" w:after="100" w:afterAutospacing="1" w:line="14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76A7" w:rsidRPr="003B65EB" w:rsidRDefault="005776A7" w:rsidP="005776A7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результатов государственной итоговой аттестации обучающихся, освоивших образовательные программы основного общего образования.</w:t>
            </w:r>
          </w:p>
          <w:p w:rsidR="005776A7" w:rsidRPr="003B65EB" w:rsidRDefault="00C36162" w:rsidP="00C36162">
            <w:pPr>
              <w:spacing w:before="100" w:beforeAutospacing="1" w:after="100" w:afterAutospacing="1" w:line="28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В 2013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году государственную итоговую аттестацию обучающихся, освоивших образовательные программы основного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 проходили 2 выпускника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9-х классов. </w:t>
            </w:r>
          </w:p>
          <w:p w:rsidR="00095CF6" w:rsidRPr="003B65EB" w:rsidRDefault="00C36162" w:rsidP="00095CF6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бучающиеся получили положительные оценки по всем предметам и подтвердили с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 уровень качества знаний.  </w:t>
            </w:r>
            <w:proofErr w:type="gramStart"/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бучающихся</w:t>
            </w:r>
            <w:proofErr w:type="gramEnd"/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сдавали экзамены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алгебре, русскому языку  в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 экзамена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выбору. У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чащихся сдавали биологию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>, историю, обществознание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76A7"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Результаты  ГИА</w:t>
            </w:r>
            <w:r w:rsidR="005776A7" w:rsidRPr="003B6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CF6" w:rsidRPr="003B6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tbl>
            <w:tblPr>
              <w:tblW w:w="100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1134"/>
              <w:gridCol w:w="567"/>
              <w:gridCol w:w="425"/>
              <w:gridCol w:w="567"/>
              <w:gridCol w:w="992"/>
              <w:gridCol w:w="1051"/>
              <w:gridCol w:w="900"/>
              <w:gridCol w:w="720"/>
              <w:gridCol w:w="1003"/>
              <w:gridCol w:w="1004"/>
            </w:tblGrid>
            <w:tr w:rsidR="00095CF6" w:rsidRPr="003B65EB" w:rsidTr="00C659B4">
              <w:trPr>
                <w:trHeight w:val="1103"/>
              </w:trPr>
              <w:tc>
                <w:tcPr>
                  <w:tcW w:w="16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 выпускников, сдававших</w:t>
                  </w:r>
                </w:p>
                <w:p w:rsidR="00095CF6" w:rsidRPr="003B65EB" w:rsidRDefault="00095CF6" w:rsidP="00095C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экзамен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</w:t>
                  </w:r>
                </w:p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экзамена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Средний </w:t>
                  </w:r>
                </w:p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балл</w:t>
                  </w:r>
                </w:p>
              </w:tc>
              <w:tc>
                <w:tcPr>
                  <w:tcW w:w="105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095C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Качество,</w:t>
                  </w:r>
                </w:p>
                <w:p w:rsidR="00095CF6" w:rsidRPr="003B65EB" w:rsidRDefault="00095CF6" w:rsidP="00095C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095CF6" w:rsidRPr="003B65EB" w:rsidRDefault="00095CF6" w:rsidP="00095C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095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  <w:p w:rsidR="00095CF6" w:rsidRPr="003B65EB" w:rsidRDefault="00095CF6" w:rsidP="00095C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подтвердивших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095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% выше </w:t>
                  </w:r>
                </w:p>
                <w:p w:rsidR="00095CF6" w:rsidRPr="003B65EB" w:rsidRDefault="00095CF6" w:rsidP="00095C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годовой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% ниже годовой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C659B4">
              <w:trPr>
                <w:trHeight w:val="491"/>
              </w:trPr>
              <w:tc>
                <w:tcPr>
                  <w:tcW w:w="167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103EEA">
              <w:trPr>
                <w:trHeight w:val="361"/>
              </w:trPr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28,5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5465E9"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0C3DF6"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752D0C"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095CF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История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CF6" w:rsidRPr="003B65EB" w:rsidTr="001C254B">
              <w:tc>
                <w:tcPr>
                  <w:tcW w:w="16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095CF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65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0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5CF6" w:rsidRPr="003B65EB" w:rsidRDefault="00095CF6" w:rsidP="003830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5CF6" w:rsidRPr="003B65EB" w:rsidRDefault="00095CF6" w:rsidP="0009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  <w:p w:rsidR="00095CF6" w:rsidRPr="003B65EB" w:rsidRDefault="00095CF6" w:rsidP="0009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 Такие результаты стали возможными благодаря   работе всего педагогического коллектива. Согласно плана подготовки к ГИА выпускников 9-х классов были проведены репетиционные работы по русскому языку (4 работ), по математике (4 работ), по истории</w:t>
            </w:r>
            <w:proofErr w:type="gram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2 работы), по биологии (2 работы), по обществознанию (2 работы). По результатам выполненных работ проводился анализ, выделялись темы, по которым допускались ошибки, вырабатывались рекомендации по устранению пробелов в знаниях, вопрос подготовки к ГИА рассматривался на заседаниях МО учителе</w:t>
            </w:r>
            <w:proofErr w:type="gram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предметников, на заседаниях педсовета школы. По плану </w:t>
            </w:r>
            <w:proofErr w:type="spell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администрация школы проводила контроль за качеством преподавания предметов, выбираемых учащимися на государственную (итоговую) аттестацию, посещались уроки учителе</w:t>
            </w:r>
            <w:proofErr w:type="gram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предметников, проводился анализ посещённых уроков, обсуждались планы подготовки к ГИА по предметам.</w:t>
            </w:r>
          </w:p>
          <w:p w:rsidR="00095CF6" w:rsidRPr="003B65EB" w:rsidRDefault="00095CF6" w:rsidP="0009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         В течение учебного и каникулярного времени по всем предметам проводились консультации.</w:t>
            </w:r>
          </w:p>
          <w:p w:rsidR="00095CF6" w:rsidRPr="003B65EB" w:rsidRDefault="00095CF6" w:rsidP="0009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       Учителя-предметники вели индивидуальную работу с учащимися. </w:t>
            </w:r>
            <w:r w:rsidRPr="003B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учитель составил план подготовки учащихся к ГИА по предмету, оформил тематический стенд</w:t>
            </w:r>
            <w:proofErr w:type="gram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ГИА по предмету». В </w:t>
            </w:r>
            <w:proofErr w:type="spellStart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рекриации</w:t>
            </w:r>
            <w:proofErr w:type="spellEnd"/>
            <w:r w:rsidRPr="003B65EB">
              <w:rPr>
                <w:rFonts w:ascii="Times New Roman" w:hAnsi="Times New Roman" w:cs="Times New Roman"/>
                <w:sz w:val="28"/>
                <w:szCs w:val="28"/>
              </w:rPr>
              <w:t xml:space="preserve"> школы был вывешен информационный стенд «Выпускникам 9-х классов», содержащий всю необходимую информацию по Порядку проведения  ГИА в 2013 году, правилах заполнения бланков ГИА.</w:t>
            </w:r>
          </w:p>
          <w:p w:rsidR="00095CF6" w:rsidRPr="003B65EB" w:rsidRDefault="00095CF6" w:rsidP="0009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EB">
              <w:rPr>
                <w:rFonts w:ascii="Times New Roman" w:hAnsi="Times New Roman" w:cs="Times New Roman"/>
                <w:sz w:val="28"/>
                <w:szCs w:val="28"/>
              </w:rPr>
              <w:t>       Классный руководитель 9 класса     проводила родительские собрания, на которых родители учащихся были ознакомлены с нормативно-правовой базой по подготовке и проведению ГИА выпускников 9-х классов, до родителей доводились результаты проведённых репетиционных работ.</w:t>
            </w:r>
          </w:p>
          <w:p w:rsidR="005776A7" w:rsidRPr="003B65EB" w:rsidRDefault="003B65EB" w:rsidP="003B6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     </w:t>
            </w:r>
          </w:p>
        </w:tc>
      </w:tr>
      <w:tr w:rsidR="005776A7" w:rsidRPr="003B65EB" w:rsidTr="002E3FBF">
        <w:trPr>
          <w:tblCellSpacing w:w="0" w:type="dxa"/>
        </w:trPr>
        <w:tc>
          <w:tcPr>
            <w:tcW w:w="20" w:type="dxa"/>
            <w:vAlign w:val="center"/>
            <w:hideMark/>
          </w:tcPr>
          <w:p w:rsidR="005776A7" w:rsidRPr="003B65EB" w:rsidRDefault="005776A7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8" w:type="dxa"/>
            <w:gridSpan w:val="6"/>
            <w:vMerge/>
            <w:vAlign w:val="center"/>
            <w:hideMark/>
          </w:tcPr>
          <w:p w:rsidR="005776A7" w:rsidRPr="003B65EB" w:rsidRDefault="005776A7" w:rsidP="0057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76A7" w:rsidRPr="003B65EB" w:rsidRDefault="005776A7" w:rsidP="00577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7E5" w:rsidRPr="003B65EB" w:rsidRDefault="00FF7EEA" w:rsidP="003B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5EB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.25pt;height:2.25pt" o:ole="">
            <v:imagedata r:id="rId8" o:title=""/>
          </v:shape>
          <w:control r:id="rId9" w:name="AW_FObj" w:shapeid="_x0000_i1030"/>
        </w:object>
      </w:r>
      <w:r w:rsidR="00A847E5" w:rsidRPr="003B65EB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образования  перед школой стоит задача не просто пополнить и развить материально-техническую базу, а поднять ее на новый качественный уровень. Эта задача по-прежнему остается приоритетной.</w:t>
      </w:r>
    </w:p>
    <w:p w:rsidR="00A847E5" w:rsidRPr="003B65EB" w:rsidRDefault="00A847E5" w:rsidP="00A847E5">
      <w:pPr>
        <w:tabs>
          <w:tab w:val="left" w:pos="360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B65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47E5" w:rsidRPr="003B65EB" w:rsidRDefault="00A847E5" w:rsidP="00A847E5">
      <w:pPr>
        <w:tabs>
          <w:tab w:val="left" w:pos="360"/>
        </w:tabs>
        <w:spacing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B65EB">
        <w:rPr>
          <w:rFonts w:ascii="Times New Roman" w:eastAsia="Times New Roman" w:hAnsi="Times New Roman" w:cs="Times New Roman"/>
          <w:sz w:val="28"/>
          <w:szCs w:val="28"/>
        </w:rPr>
        <w:t xml:space="preserve">  Мы надеемся, что наша школа останется социокультурным центром села и поможет обучающимся школы успешно социализироваться в современных условиях. </w:t>
      </w:r>
    </w:p>
    <w:p w:rsidR="00454EB8" w:rsidRPr="003B65EB" w:rsidRDefault="00454EB8">
      <w:pPr>
        <w:rPr>
          <w:rFonts w:ascii="Times New Roman" w:hAnsi="Times New Roman" w:cs="Times New Roman"/>
          <w:sz w:val="28"/>
          <w:szCs w:val="28"/>
        </w:rPr>
      </w:pPr>
    </w:p>
    <w:sectPr w:rsidR="00454EB8" w:rsidRPr="003B65EB" w:rsidSect="00490C07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54" w:rsidRDefault="000E7654" w:rsidP="00A847E5">
      <w:pPr>
        <w:spacing w:after="0" w:line="240" w:lineRule="auto"/>
      </w:pPr>
      <w:r>
        <w:separator/>
      </w:r>
    </w:p>
  </w:endnote>
  <w:endnote w:type="continuationSeparator" w:id="0">
    <w:p w:rsidR="000E7654" w:rsidRDefault="000E7654" w:rsidP="00A8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54" w:rsidRDefault="000E7654" w:rsidP="00A847E5">
      <w:pPr>
        <w:spacing w:after="0" w:line="240" w:lineRule="auto"/>
      </w:pPr>
      <w:r>
        <w:separator/>
      </w:r>
    </w:p>
  </w:footnote>
  <w:footnote w:type="continuationSeparator" w:id="0">
    <w:p w:rsidR="000E7654" w:rsidRDefault="000E7654" w:rsidP="00A8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95"/>
    <w:multiLevelType w:val="hybridMultilevel"/>
    <w:tmpl w:val="38EAB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778"/>
    <w:multiLevelType w:val="hybridMultilevel"/>
    <w:tmpl w:val="CDDC2996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42A50062"/>
    <w:multiLevelType w:val="hybridMultilevel"/>
    <w:tmpl w:val="DDE05CD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42DE76B4"/>
    <w:multiLevelType w:val="multilevel"/>
    <w:tmpl w:val="379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434CC"/>
    <w:multiLevelType w:val="multilevel"/>
    <w:tmpl w:val="65B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4959B3"/>
    <w:multiLevelType w:val="hybridMultilevel"/>
    <w:tmpl w:val="699A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7"/>
    <w:rsid w:val="00013551"/>
    <w:rsid w:val="00013586"/>
    <w:rsid w:val="00095CF6"/>
    <w:rsid w:val="000A2210"/>
    <w:rsid w:val="000E7654"/>
    <w:rsid w:val="00252F48"/>
    <w:rsid w:val="002E3FBF"/>
    <w:rsid w:val="003020B6"/>
    <w:rsid w:val="00326402"/>
    <w:rsid w:val="00347EDD"/>
    <w:rsid w:val="003B65EB"/>
    <w:rsid w:val="00454EB8"/>
    <w:rsid w:val="00461064"/>
    <w:rsid w:val="00490C07"/>
    <w:rsid w:val="004B2F28"/>
    <w:rsid w:val="005776A7"/>
    <w:rsid w:val="008138F1"/>
    <w:rsid w:val="008C07FD"/>
    <w:rsid w:val="008C6475"/>
    <w:rsid w:val="009404C3"/>
    <w:rsid w:val="009E53E8"/>
    <w:rsid w:val="009F5226"/>
    <w:rsid w:val="00A840D0"/>
    <w:rsid w:val="00A847E5"/>
    <w:rsid w:val="00AE13A8"/>
    <w:rsid w:val="00BF3ACC"/>
    <w:rsid w:val="00BF51CF"/>
    <w:rsid w:val="00C36162"/>
    <w:rsid w:val="00C5560F"/>
    <w:rsid w:val="00CF31E4"/>
    <w:rsid w:val="00CF462B"/>
    <w:rsid w:val="00CF710C"/>
    <w:rsid w:val="00E0163E"/>
    <w:rsid w:val="00E51E6D"/>
    <w:rsid w:val="00E725F3"/>
    <w:rsid w:val="00E8685A"/>
    <w:rsid w:val="00EF4016"/>
    <w:rsid w:val="00F31A74"/>
    <w:rsid w:val="00F54F10"/>
    <w:rsid w:val="00FD6BE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6A7"/>
    <w:pPr>
      <w:keepNext/>
      <w:tabs>
        <w:tab w:val="num" w:pos="1440"/>
        <w:tab w:val="left" w:pos="55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A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7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6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7E5"/>
  </w:style>
  <w:style w:type="paragraph" w:styleId="aa">
    <w:name w:val="footer"/>
    <w:basedOn w:val="a"/>
    <w:link w:val="ab"/>
    <w:uiPriority w:val="99"/>
    <w:semiHidden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7E5"/>
  </w:style>
  <w:style w:type="paragraph" w:styleId="ac">
    <w:name w:val="List Paragraph"/>
    <w:basedOn w:val="a"/>
    <w:uiPriority w:val="34"/>
    <w:qFormat/>
    <w:rsid w:val="00013551"/>
    <w:pPr>
      <w:ind w:left="720"/>
      <w:contextualSpacing/>
    </w:pPr>
  </w:style>
  <w:style w:type="table" w:styleId="ad">
    <w:name w:val="Table Grid"/>
    <w:basedOn w:val="a1"/>
    <w:uiPriority w:val="59"/>
    <w:rsid w:val="002E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6A7"/>
    <w:pPr>
      <w:keepNext/>
      <w:tabs>
        <w:tab w:val="num" w:pos="1440"/>
        <w:tab w:val="left" w:pos="552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A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7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6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57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7E5"/>
  </w:style>
  <w:style w:type="paragraph" w:styleId="aa">
    <w:name w:val="footer"/>
    <w:basedOn w:val="a"/>
    <w:link w:val="ab"/>
    <w:uiPriority w:val="99"/>
    <w:semiHidden/>
    <w:unhideWhenUsed/>
    <w:rsid w:val="00A8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7E5"/>
  </w:style>
  <w:style w:type="paragraph" w:styleId="ac">
    <w:name w:val="List Paragraph"/>
    <w:basedOn w:val="a"/>
    <w:uiPriority w:val="34"/>
    <w:qFormat/>
    <w:rsid w:val="00013551"/>
    <w:pPr>
      <w:ind w:left="720"/>
      <w:contextualSpacing/>
    </w:pPr>
  </w:style>
  <w:style w:type="table" w:styleId="ad">
    <w:name w:val="Table Grid"/>
    <w:basedOn w:val="a1"/>
    <w:uiPriority w:val="59"/>
    <w:rsid w:val="002E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271">
              <w:marLeft w:val="0"/>
              <w:marRight w:val="0"/>
              <w:marTop w:val="561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</cp:lastModifiedBy>
  <cp:revision>2</cp:revision>
  <dcterms:created xsi:type="dcterms:W3CDTF">2014-02-06T13:18:00Z</dcterms:created>
  <dcterms:modified xsi:type="dcterms:W3CDTF">2014-02-06T13:18:00Z</dcterms:modified>
</cp:coreProperties>
</file>