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BB" w:rsidRDefault="003334BB" w:rsidP="00B621A3">
      <w:pPr>
        <w:pStyle w:val="Default"/>
      </w:pPr>
    </w:p>
    <w:p w:rsidR="003334BB" w:rsidRDefault="003334BB" w:rsidP="00B621A3">
      <w:pPr>
        <w:pStyle w:val="Default"/>
      </w:pPr>
    </w:p>
    <w:p w:rsidR="003713A6" w:rsidRDefault="002D0ACD" w:rsidP="00B621A3">
      <w:pPr>
        <w:shd w:val="clear" w:color="auto" w:fill="FFFFFF"/>
        <w:jc w:val="center"/>
        <w:rPr>
          <w:b/>
          <w:bCs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124575" cy="8484836"/>
            <wp:effectExtent l="19050" t="0" r="9525" b="0"/>
            <wp:docPr id="1" name="Рисунок 1" descr="J:\локальные акты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84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A6" w:rsidRDefault="003713A6" w:rsidP="00B621A3">
      <w:pPr>
        <w:shd w:val="clear" w:color="auto" w:fill="FFFFFF"/>
        <w:jc w:val="center"/>
        <w:rPr>
          <w:b/>
          <w:bCs/>
        </w:rPr>
      </w:pPr>
    </w:p>
    <w:p w:rsidR="003713A6" w:rsidRDefault="003713A6" w:rsidP="00B621A3">
      <w:pPr>
        <w:shd w:val="clear" w:color="auto" w:fill="FFFFFF"/>
        <w:jc w:val="center"/>
        <w:rPr>
          <w:b/>
          <w:bCs/>
        </w:rPr>
      </w:pPr>
    </w:p>
    <w:p w:rsidR="003713A6" w:rsidRDefault="003713A6" w:rsidP="00B621A3">
      <w:pPr>
        <w:shd w:val="clear" w:color="auto" w:fill="FFFFFF"/>
        <w:jc w:val="center"/>
        <w:rPr>
          <w:b/>
          <w:bCs/>
        </w:rPr>
      </w:pPr>
    </w:p>
    <w:p w:rsidR="003713A6" w:rsidRDefault="003713A6" w:rsidP="00B621A3">
      <w:pPr>
        <w:shd w:val="clear" w:color="auto" w:fill="FFFFFF"/>
        <w:jc w:val="center"/>
        <w:rPr>
          <w:b/>
          <w:bCs/>
        </w:rPr>
      </w:pPr>
    </w:p>
    <w:p w:rsidR="003713A6" w:rsidRDefault="003713A6" w:rsidP="00B621A3">
      <w:pPr>
        <w:shd w:val="clear" w:color="auto" w:fill="FFFFFF"/>
        <w:jc w:val="center"/>
        <w:rPr>
          <w:b/>
          <w:bCs/>
        </w:rPr>
      </w:pPr>
    </w:p>
    <w:p w:rsidR="003713A6" w:rsidRDefault="003713A6" w:rsidP="00B621A3">
      <w:pPr>
        <w:shd w:val="clear" w:color="auto" w:fill="FFFFFF"/>
        <w:jc w:val="center"/>
        <w:rPr>
          <w:b/>
          <w:bCs/>
        </w:rPr>
      </w:pPr>
    </w:p>
    <w:p w:rsidR="003713A6" w:rsidRPr="00BD06B8" w:rsidRDefault="003713A6" w:rsidP="002D0ACD">
      <w:pPr>
        <w:shd w:val="clear" w:color="auto" w:fill="FFFFFF"/>
        <w:rPr>
          <w:b/>
          <w:color w:val="000000"/>
        </w:rPr>
      </w:pPr>
    </w:p>
    <w:p w:rsidR="00B621A3" w:rsidRPr="00D65D53" w:rsidRDefault="00B621A3" w:rsidP="00B621A3">
      <w:pPr>
        <w:jc w:val="center"/>
      </w:pPr>
      <w:r>
        <w:lastRenderedPageBreak/>
        <w:t xml:space="preserve"> </w:t>
      </w:r>
    </w:p>
    <w:p w:rsidR="00B621A3" w:rsidRPr="00D8029B" w:rsidRDefault="00B621A3" w:rsidP="00B621A3">
      <w:pPr>
        <w:pStyle w:val="Default"/>
        <w:rPr>
          <w:b/>
        </w:rPr>
      </w:pPr>
      <w:r w:rsidRPr="00D8029B">
        <w:rPr>
          <w:b/>
        </w:rPr>
        <w:t xml:space="preserve">1 </w:t>
      </w:r>
      <w:r>
        <w:rPr>
          <w:b/>
        </w:rPr>
        <w:t xml:space="preserve">. </w:t>
      </w:r>
      <w:r w:rsidRPr="00D8029B">
        <w:rPr>
          <w:b/>
        </w:rPr>
        <w:t xml:space="preserve">Общие положения </w:t>
      </w:r>
    </w:p>
    <w:p w:rsidR="00B621A3" w:rsidRPr="00D65D53" w:rsidRDefault="00B621A3" w:rsidP="00B621A3">
      <w:pPr>
        <w:pStyle w:val="Default"/>
      </w:pPr>
      <w:proofErr w:type="gramStart"/>
      <w:r w:rsidRPr="00D65D53">
        <w:t>1.1</w:t>
      </w:r>
      <w:r>
        <w:t xml:space="preserve"> </w:t>
      </w:r>
      <w:r w:rsidRPr="00D65D53">
        <w:t xml:space="preserve"> Положение разработано в соответствии с Федеральным законом от 29 декабря 2012года № 273-ФЗ </w:t>
      </w:r>
      <w:r>
        <w:t xml:space="preserve"> </w:t>
      </w:r>
      <w:r w:rsidRPr="00D65D53">
        <w:t xml:space="preserve">«Об образовании в Российской Федерации»;  Трудовым Кодексом </w:t>
      </w:r>
      <w:r w:rsidRPr="00D65D53">
        <w:rPr>
          <w:rFonts w:eastAsia="Calibri"/>
        </w:rPr>
        <w:t xml:space="preserve"> Российской Федерации в ред. Федерального закона от 30.06.06 № 90-ФЗ, Приказ </w:t>
      </w:r>
      <w:proofErr w:type="spellStart"/>
      <w:r w:rsidRPr="00D65D53">
        <w:rPr>
          <w:rFonts w:eastAsia="Calibri"/>
        </w:rPr>
        <w:t>Минобрнауки</w:t>
      </w:r>
      <w:proofErr w:type="spellEnd"/>
      <w:r w:rsidRPr="00D65D53">
        <w:rPr>
          <w:rFonts w:eastAsia="Calibri"/>
        </w:rPr>
        <w:t xml:space="preserve"> России от 27.03.06 года № 69 «Об особенностях режима рабочего времени и времени отдыха педагогических и других работников образовательных учреждений» и другие документы действующего законодательства,</w:t>
      </w:r>
      <w:r>
        <w:rPr>
          <w:rFonts w:eastAsia="Calibri"/>
        </w:rPr>
        <w:t xml:space="preserve"> </w:t>
      </w:r>
      <w:r w:rsidRPr="00D65D53">
        <w:t>Уставом школы.</w:t>
      </w:r>
      <w:proofErr w:type="gramEnd"/>
    </w:p>
    <w:p w:rsidR="00B621A3" w:rsidRPr="00D65D53" w:rsidRDefault="00B621A3" w:rsidP="00B621A3">
      <w:pPr>
        <w:pStyle w:val="Default"/>
      </w:pPr>
      <w:r w:rsidRPr="00D65D53">
        <w:t xml:space="preserve">Настоящее положение регулирует нормирование и </w:t>
      </w:r>
      <w:proofErr w:type="gramStart"/>
      <w:r w:rsidRPr="00D65D53">
        <w:t>соотношении</w:t>
      </w:r>
      <w:proofErr w:type="gramEnd"/>
      <w:r w:rsidRPr="00D65D53">
        <w:t xml:space="preserve"> учебной (преподавательской) и другой педагогической работы педагогических работников  школы  в пределах учебного года. </w:t>
      </w:r>
    </w:p>
    <w:p w:rsidR="00B621A3" w:rsidRDefault="00B621A3" w:rsidP="00B621A3">
      <w:pPr>
        <w:pStyle w:val="Default"/>
      </w:pPr>
      <w:r w:rsidRPr="00D65D53">
        <w:t xml:space="preserve">1.2 Настоящее Положение распространяется на всех штатных и внештатных педагогических работников, работающих на условиях трудового договора. </w:t>
      </w:r>
    </w:p>
    <w:p w:rsidR="00B621A3" w:rsidRPr="00D65D53" w:rsidRDefault="00B621A3" w:rsidP="00B621A3">
      <w:pPr>
        <w:pStyle w:val="Default"/>
      </w:pPr>
    </w:p>
    <w:p w:rsidR="00B621A3" w:rsidRPr="00D65D53" w:rsidRDefault="00B621A3" w:rsidP="00B621A3">
      <w:pPr>
        <w:pStyle w:val="Default"/>
        <w:rPr>
          <w:b/>
        </w:rPr>
      </w:pPr>
      <w:r w:rsidRPr="00D65D53">
        <w:rPr>
          <w:b/>
        </w:rPr>
        <w:t xml:space="preserve">2. Структура рабочего времени педагогических работников </w:t>
      </w:r>
    </w:p>
    <w:p w:rsidR="00B621A3" w:rsidRPr="00D65D53" w:rsidRDefault="00B621A3" w:rsidP="00B621A3">
      <w:pPr>
        <w:pStyle w:val="Default"/>
      </w:pPr>
      <w:r w:rsidRPr="00D65D53">
        <w:t>2.1</w:t>
      </w:r>
      <w:proofErr w:type="gramStart"/>
      <w:r w:rsidRPr="00D65D53">
        <w:t xml:space="preserve"> В</w:t>
      </w:r>
      <w:proofErr w:type="gramEnd"/>
      <w:r w:rsidRPr="00D65D53">
        <w:t xml:space="preserve">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</w:t>
      </w:r>
    </w:p>
    <w:p w:rsidR="00B621A3" w:rsidRPr="00D65D53" w:rsidRDefault="00B621A3" w:rsidP="00B621A3">
      <w:pPr>
        <w:pStyle w:val="Default"/>
      </w:pPr>
      <w:r w:rsidRPr="00D65D53">
        <w:t xml:space="preserve">2.2 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B621A3" w:rsidRPr="00D65D53" w:rsidRDefault="00B621A3" w:rsidP="00B621A3">
      <w:pPr>
        <w:pStyle w:val="Default"/>
      </w:pPr>
      <w:r w:rsidRPr="00D65D53">
        <w:t xml:space="preserve">Продолжительность рабочего времени педагогических работников устанавливается в количестве 36 часов в неделю при работе на 1,0 ставку. При работе на доли ставок все нормы рабочего времени определяются пропорционально. Как правило, в школе  устанавливается 6-ти дневная рабочая неделя и, соответственно, 6-ти часовой рабочий день для педагогических работников. </w:t>
      </w:r>
    </w:p>
    <w:p w:rsidR="00B621A3" w:rsidRPr="00D65D53" w:rsidRDefault="00B621A3" w:rsidP="00B621A3">
      <w:pPr>
        <w:pStyle w:val="Default"/>
      </w:pPr>
      <w:r>
        <w:t>2.3</w:t>
      </w:r>
      <w:r w:rsidRPr="00D65D53">
        <w:t xml:space="preserve"> Расчет максимально возможного фонда рабочего времени педагогического работника приведен в таблице 1. </w:t>
      </w:r>
    </w:p>
    <w:p w:rsidR="00B621A3" w:rsidRPr="00D65D53" w:rsidRDefault="00B621A3" w:rsidP="00B621A3">
      <w:pPr>
        <w:pStyle w:val="Default"/>
        <w:rPr>
          <w:color w:val="auto"/>
        </w:rPr>
      </w:pPr>
    </w:p>
    <w:tbl>
      <w:tblPr>
        <w:tblStyle w:val="a3"/>
        <w:tblW w:w="0" w:type="auto"/>
        <w:tblLook w:val="04A0"/>
      </w:tblPr>
      <w:tblGrid>
        <w:gridCol w:w="512"/>
        <w:gridCol w:w="4149"/>
        <w:gridCol w:w="1456"/>
        <w:gridCol w:w="1051"/>
        <w:gridCol w:w="1084"/>
        <w:gridCol w:w="1080"/>
        <w:gridCol w:w="529"/>
      </w:tblGrid>
      <w:tr w:rsidR="00B621A3" w:rsidRPr="00D65D53" w:rsidTr="00512AFB">
        <w:tc>
          <w:tcPr>
            <w:tcW w:w="512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№</w:t>
            </w:r>
          </w:p>
        </w:tc>
        <w:tc>
          <w:tcPr>
            <w:tcW w:w="414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показатель</w:t>
            </w:r>
          </w:p>
        </w:tc>
        <w:tc>
          <w:tcPr>
            <w:tcW w:w="1456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40"/>
            </w:tblGrid>
            <w:tr w:rsidR="00B621A3" w:rsidRPr="00D65D53" w:rsidTr="00512AFB">
              <w:trPr>
                <w:trHeight w:val="247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Расчетная формула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51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дни</w:t>
            </w:r>
          </w:p>
        </w:tc>
        <w:tc>
          <w:tcPr>
            <w:tcW w:w="1084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недели</w:t>
            </w:r>
          </w:p>
        </w:tc>
        <w:tc>
          <w:tcPr>
            <w:tcW w:w="1080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часы</w:t>
            </w:r>
          </w:p>
        </w:tc>
        <w:tc>
          <w:tcPr>
            <w:tcW w:w="52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</w:tr>
      <w:tr w:rsidR="00B621A3" w:rsidRPr="00D65D53" w:rsidTr="00512AFB">
        <w:trPr>
          <w:trHeight w:val="1330"/>
        </w:trPr>
        <w:tc>
          <w:tcPr>
            <w:tcW w:w="512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1</w:t>
            </w:r>
          </w:p>
        </w:tc>
        <w:tc>
          <w:tcPr>
            <w:tcW w:w="4149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3"/>
            </w:tblGrid>
            <w:tr w:rsidR="00B621A3" w:rsidRPr="00D65D53" w:rsidTr="00512AFB">
              <w:trPr>
                <w:trHeight w:val="247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Календарный фонд рабочего времени за учебный год </w:t>
                  </w:r>
                </w:p>
              </w:tc>
            </w:tr>
          </w:tbl>
          <w:p w:rsidR="00B621A3" w:rsidRDefault="00B621A3" w:rsidP="00512AFB">
            <w:pPr>
              <w:pStyle w:val="Default"/>
              <w:rPr>
                <w:color w:val="auto"/>
              </w:rPr>
            </w:pPr>
          </w:p>
          <w:p w:rsidR="00B621A3" w:rsidRDefault="00B621A3" w:rsidP="00512AFB">
            <w:pPr>
              <w:pStyle w:val="Default"/>
              <w:rPr>
                <w:color w:val="auto"/>
              </w:rPr>
            </w:pPr>
          </w:p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51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365</w:t>
            </w:r>
          </w:p>
        </w:tc>
        <w:tc>
          <w:tcPr>
            <w:tcW w:w="1084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52</w:t>
            </w:r>
          </w:p>
        </w:tc>
        <w:tc>
          <w:tcPr>
            <w:tcW w:w="1080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52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</w:tr>
      <w:tr w:rsidR="00B621A3" w:rsidRPr="00D65D53" w:rsidTr="00512AFB">
        <w:tc>
          <w:tcPr>
            <w:tcW w:w="512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4149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550"/>
            </w:tblGrid>
            <w:tr w:rsidR="00B621A3" w:rsidRPr="00D65D53" w:rsidTr="00512AFB">
              <w:trPr>
                <w:trHeight w:val="109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Выходные, праздники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B621A3" w:rsidRDefault="00B621A3" w:rsidP="00512AFB">
            <w:pPr>
              <w:pStyle w:val="Default"/>
              <w:rPr>
                <w:color w:val="auto"/>
              </w:rPr>
            </w:pPr>
          </w:p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68</w:t>
            </w:r>
          </w:p>
        </w:tc>
        <w:tc>
          <w:tcPr>
            <w:tcW w:w="1051" w:type="dxa"/>
          </w:tcPr>
          <w:p w:rsidR="00B621A3" w:rsidRDefault="00B621A3" w:rsidP="00512AFB">
            <w:pPr>
              <w:pStyle w:val="Default"/>
              <w:rPr>
                <w:color w:val="auto"/>
              </w:rPr>
            </w:pPr>
          </w:p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68</w:t>
            </w:r>
          </w:p>
        </w:tc>
        <w:tc>
          <w:tcPr>
            <w:tcW w:w="1084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52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</w:tr>
      <w:tr w:rsidR="00B621A3" w:rsidRPr="00D65D53" w:rsidTr="00512AFB">
        <w:tc>
          <w:tcPr>
            <w:tcW w:w="512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4149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1"/>
            </w:tblGrid>
            <w:tr w:rsidR="00B621A3" w:rsidRPr="00D65D53" w:rsidTr="00512AFB">
              <w:trPr>
                <w:trHeight w:val="109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Продолжительность рабочего дня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B621A3" w:rsidRDefault="00B621A3" w:rsidP="00512AFB">
            <w:pPr>
              <w:pStyle w:val="Default"/>
              <w:rPr>
                <w:color w:val="auto"/>
              </w:rPr>
            </w:pPr>
          </w:p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36*6</w:t>
            </w:r>
          </w:p>
        </w:tc>
        <w:tc>
          <w:tcPr>
            <w:tcW w:w="1051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84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52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</w:tr>
      <w:tr w:rsidR="00B621A3" w:rsidRPr="00D65D53" w:rsidTr="00512AFB">
        <w:tc>
          <w:tcPr>
            <w:tcW w:w="512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4149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3"/>
            </w:tblGrid>
            <w:tr w:rsidR="00B621A3" w:rsidRPr="00D65D53" w:rsidTr="00512AFB">
              <w:trPr>
                <w:trHeight w:val="109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Очередные отпуска (календарные дни)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51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  <w:r w:rsidRPr="00D65D53">
              <w:rPr>
                <w:color w:val="auto"/>
              </w:rPr>
              <w:t>56</w:t>
            </w:r>
          </w:p>
        </w:tc>
        <w:tc>
          <w:tcPr>
            <w:tcW w:w="1084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6"/>
            </w:tblGrid>
            <w:tr w:rsidR="00B621A3" w:rsidRPr="00D65D53" w:rsidTr="00512AFB">
              <w:trPr>
                <w:trHeight w:val="109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336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52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</w:tr>
      <w:tr w:rsidR="00B621A3" w:rsidRPr="00D65D53" w:rsidTr="00512AFB">
        <w:tc>
          <w:tcPr>
            <w:tcW w:w="512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4149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33"/>
            </w:tblGrid>
            <w:tr w:rsidR="00B621A3" w:rsidRPr="00D65D53" w:rsidTr="00512AFB">
              <w:trPr>
                <w:trHeight w:val="247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Максимально возможный фонд рабочего времени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456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51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6"/>
            </w:tblGrid>
            <w:tr w:rsidR="00B621A3" w:rsidRPr="00D65D53" w:rsidTr="00512AFB">
              <w:trPr>
                <w:trHeight w:val="109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241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84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1080" w:type="dxa"/>
          </w:tcPr>
          <w:p w:rsidR="00B621A3" w:rsidRPr="00D65D53" w:rsidRDefault="00B621A3" w:rsidP="00512AF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6"/>
            </w:tblGrid>
            <w:tr w:rsidR="00B621A3" w:rsidRPr="00D65D53" w:rsidTr="00512AFB">
              <w:trPr>
                <w:trHeight w:val="109"/>
              </w:trPr>
              <w:tc>
                <w:tcPr>
                  <w:tcW w:w="0" w:type="auto"/>
                </w:tcPr>
                <w:p w:rsidR="00B621A3" w:rsidRPr="00D65D53" w:rsidRDefault="00B621A3" w:rsidP="00512AFB">
                  <w:pPr>
                    <w:pStyle w:val="Default"/>
                  </w:pPr>
                  <w:r w:rsidRPr="00D65D53">
                    <w:t xml:space="preserve"> 1438 </w:t>
                  </w:r>
                </w:p>
              </w:tc>
            </w:tr>
          </w:tbl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  <w:tc>
          <w:tcPr>
            <w:tcW w:w="529" w:type="dxa"/>
          </w:tcPr>
          <w:p w:rsidR="00B621A3" w:rsidRPr="00D65D53" w:rsidRDefault="00B621A3" w:rsidP="00512AFB">
            <w:pPr>
              <w:pStyle w:val="Default"/>
              <w:rPr>
                <w:color w:val="auto"/>
              </w:rPr>
            </w:pPr>
          </w:p>
        </w:tc>
      </w:tr>
    </w:tbl>
    <w:p w:rsidR="00B621A3" w:rsidRPr="00D65D53" w:rsidRDefault="00B621A3" w:rsidP="00B621A3">
      <w:pPr>
        <w:pStyle w:val="Default"/>
      </w:pPr>
      <w:r w:rsidRPr="00D65D53">
        <w:t xml:space="preserve">Ежегодно размер максимально возможного фонда рабочего времени педагогического работника уточняется на основе производственного календаря и утверждается приказом </w:t>
      </w:r>
      <w:r>
        <w:t>ди</w:t>
      </w:r>
      <w:r w:rsidRPr="00D65D53">
        <w:t xml:space="preserve">ректора. </w:t>
      </w:r>
    </w:p>
    <w:p w:rsidR="00B621A3" w:rsidRPr="00D65D53" w:rsidRDefault="00B621A3" w:rsidP="00B621A3">
      <w:pPr>
        <w:pStyle w:val="Default"/>
      </w:pPr>
      <w:r w:rsidRPr="00D65D53">
        <w:t xml:space="preserve">При расчетах объема учебной работы, планировании и учете труда педагогических работников академический (учебный) час приравнивается к </w:t>
      </w:r>
      <w:proofErr w:type="gramStart"/>
      <w:r w:rsidRPr="00D65D53">
        <w:t>астрономическому</w:t>
      </w:r>
      <w:proofErr w:type="gramEnd"/>
      <w:r w:rsidRPr="00D65D53">
        <w:t xml:space="preserve">. </w:t>
      </w:r>
    </w:p>
    <w:p w:rsidR="00B621A3" w:rsidRPr="00D65D53" w:rsidRDefault="00B621A3" w:rsidP="00B621A3">
      <w:pPr>
        <w:pStyle w:val="Default"/>
      </w:pPr>
      <w:r>
        <w:lastRenderedPageBreak/>
        <w:t>2.4.</w:t>
      </w:r>
      <w:r w:rsidRPr="00D65D53">
        <w:t xml:space="preserve"> В рамках расчета максимально возможного фонда рабочего времени педагогического работника для выполнения учебной (аудиторной и внеаудиторной) работы введем понятие «продолжительность первой половины рабочего дня», для выполнения </w:t>
      </w:r>
      <w:proofErr w:type="spellStart"/>
      <w:r w:rsidRPr="00D65D53">
        <w:t>внеучебной</w:t>
      </w:r>
      <w:proofErr w:type="spellEnd"/>
      <w:r w:rsidRPr="00D65D53">
        <w:t xml:space="preserve"> работы - «продолжительность второй половины рабочего дня».</w:t>
      </w:r>
    </w:p>
    <w:p w:rsidR="00B621A3" w:rsidRPr="00D8029B" w:rsidRDefault="00B621A3" w:rsidP="00B621A3">
      <w:pPr>
        <w:pStyle w:val="Default"/>
        <w:rPr>
          <w:b/>
        </w:rPr>
      </w:pPr>
      <w:r w:rsidRPr="00D8029B">
        <w:rPr>
          <w:b/>
        </w:rPr>
        <w:t xml:space="preserve">3 Нормы трудоемкости и нормы напряженности труда педагогических работников </w:t>
      </w:r>
    </w:p>
    <w:p w:rsidR="00B621A3" w:rsidRPr="00D65D53" w:rsidRDefault="00B621A3" w:rsidP="00B621A3">
      <w:pPr>
        <w:pStyle w:val="Default"/>
      </w:pPr>
      <w:r w:rsidRPr="00D65D53">
        <w:t xml:space="preserve">3.1 </w:t>
      </w:r>
      <w:r>
        <w:t xml:space="preserve"> </w:t>
      </w:r>
      <w:r w:rsidRPr="00D65D53">
        <w:t xml:space="preserve">Норма учебной работы педагогическим работникам устанавливается в размере 18 недельных  часов в учебном году на педагогического работника (первая половина рабочего дня). Учебная нагрузка педагогического работника регулируется расписанием. </w:t>
      </w:r>
    </w:p>
    <w:p w:rsidR="00B621A3" w:rsidRPr="00D65D53" w:rsidRDefault="00B621A3" w:rsidP="00B621A3">
      <w:pPr>
        <w:pStyle w:val="Default"/>
      </w:pPr>
      <w:r w:rsidRPr="00D65D53">
        <w:t>3.2</w:t>
      </w:r>
      <w:r>
        <w:t>.</w:t>
      </w:r>
      <w:r w:rsidRPr="00D65D53">
        <w:t xml:space="preserve"> В среднем для расчета учебной нагрузки педагогического ра</w:t>
      </w:r>
      <w:r>
        <w:t>ботника продолжительность первой</w:t>
      </w:r>
      <w:r w:rsidRPr="00D65D53">
        <w:t xml:space="preserve"> половины рабочего дня устанавливается на уровне 3 ч. в день - 18 ч. в неделю. </w:t>
      </w:r>
    </w:p>
    <w:p w:rsidR="00B621A3" w:rsidRPr="00D65D53" w:rsidRDefault="00B621A3" w:rsidP="00B621A3">
      <w:pPr>
        <w:pStyle w:val="Default"/>
      </w:pPr>
      <w:r>
        <w:t xml:space="preserve">3.3. </w:t>
      </w:r>
      <w:r w:rsidRPr="00D65D53">
        <w:t xml:space="preserve">На период командировки, болезни, направления на повышение квалификации педагогический работник освобождается от учебной нагрузки. Установленная ему на этот период учебная нагрузка выполняется другими педагогическими работниками  школы  в пределах установленного рабочего дня за счет уменьшения им на этот период объема </w:t>
      </w:r>
      <w:proofErr w:type="spellStart"/>
      <w:r w:rsidRPr="00D65D53">
        <w:t>внеучебной</w:t>
      </w:r>
      <w:proofErr w:type="spellEnd"/>
      <w:r w:rsidRPr="00D65D53">
        <w:t xml:space="preserve"> работы. </w:t>
      </w:r>
    </w:p>
    <w:p w:rsidR="00B621A3" w:rsidRPr="00D65D53" w:rsidRDefault="00B621A3" w:rsidP="00B621A3">
      <w:pPr>
        <w:pStyle w:val="Default"/>
      </w:pPr>
      <w:r>
        <w:t xml:space="preserve">   </w:t>
      </w:r>
      <w:r w:rsidRPr="00D65D53">
        <w:t xml:space="preserve">Работа педагогических работников, временно замещающих отсутствующих педагогических работников, может оплачиваться на условиях почасовой оплаты </w:t>
      </w:r>
    </w:p>
    <w:p w:rsidR="00B621A3" w:rsidRPr="00E75F73" w:rsidRDefault="00B621A3" w:rsidP="00B621A3">
      <w:pPr>
        <w:pStyle w:val="Default"/>
      </w:pPr>
      <w:r>
        <w:t xml:space="preserve">3.4. </w:t>
      </w:r>
      <w:r w:rsidRPr="00D65D53">
        <w:t xml:space="preserve"> </w:t>
      </w:r>
      <w:r w:rsidRPr="00E75F73">
        <w:t xml:space="preserve">К педагогическим работникам школы относят должности: </w:t>
      </w:r>
      <w:r w:rsidRPr="00E75F73">
        <w:rPr>
          <w:rFonts w:eastAsia="Calibri"/>
        </w:rPr>
        <w:t>педагогические работники, непосредственно о</w:t>
      </w:r>
      <w:r w:rsidRPr="00E75F73">
        <w:t>существляющие  учебный процес</w:t>
      </w:r>
      <w:proofErr w:type="gramStart"/>
      <w:r w:rsidRPr="00E75F73">
        <w:t>с-</w:t>
      </w:r>
      <w:proofErr w:type="gramEnd"/>
      <w:r w:rsidRPr="00E75F73">
        <w:t xml:space="preserve"> </w:t>
      </w:r>
      <w:r w:rsidRPr="00E75F73">
        <w:rPr>
          <w:rFonts w:eastAsia="Calibri"/>
        </w:rPr>
        <w:t>учитель</w:t>
      </w:r>
      <w:r w:rsidRPr="00E75F73">
        <w:t>;</w:t>
      </w:r>
      <w:r w:rsidR="00E75F73" w:rsidRPr="00E75F73">
        <w:t xml:space="preserve"> воспитатель;</w:t>
      </w:r>
    </w:p>
    <w:p w:rsidR="00B621A3" w:rsidRDefault="00B621A3" w:rsidP="00B621A3">
      <w:pPr>
        <w:pStyle w:val="Default"/>
      </w:pPr>
      <w:r w:rsidRPr="00E75F73">
        <w:rPr>
          <w:rFonts w:eastAsia="Calibri"/>
        </w:rPr>
        <w:t xml:space="preserve"> педагог-</w:t>
      </w:r>
      <w:r w:rsidRPr="00E75F73">
        <w:t>библиотекарь.</w:t>
      </w:r>
      <w:r w:rsidRPr="00D65D53">
        <w:t xml:space="preserve">  </w:t>
      </w:r>
    </w:p>
    <w:p w:rsidR="00B621A3" w:rsidRPr="00D65D53" w:rsidRDefault="00B621A3" w:rsidP="00B621A3">
      <w:pPr>
        <w:jc w:val="both"/>
      </w:pPr>
      <w:r w:rsidRPr="00D65D53">
        <w:t xml:space="preserve">  </w:t>
      </w:r>
      <w:r>
        <w:rPr>
          <w:b/>
        </w:rPr>
        <w:t>4</w:t>
      </w:r>
      <w:r w:rsidRPr="00D65D53">
        <w:rPr>
          <w:b/>
        </w:rPr>
        <w:t>. Порядок нормирования и учёта основных  работ  педагогических работников</w:t>
      </w:r>
    </w:p>
    <w:p w:rsidR="00B621A3" w:rsidRPr="00D65D53" w:rsidRDefault="00B621A3" w:rsidP="00B621A3">
      <w:pPr>
        <w:jc w:val="both"/>
      </w:pPr>
      <w:r w:rsidRPr="00D65D53">
        <w:t xml:space="preserve"> </w:t>
      </w:r>
      <w:r>
        <w:t xml:space="preserve">4.1. </w:t>
      </w:r>
      <w:r w:rsidRPr="00D65D53">
        <w:t>Выполнение основных работ всеми категориями  педагогических работников характеризуется наличием установленных норм содержания деятельности и норм времени на её осуществление, установленных в Должностных обязанностях</w:t>
      </w:r>
      <w:r w:rsidR="00E75F73">
        <w:t xml:space="preserve">, </w:t>
      </w:r>
      <w:r w:rsidRPr="00D65D53">
        <w:t xml:space="preserve"> и   оплачивается из базовой части фонда оплаты труда работников школы в качестве должностного оклада.</w:t>
      </w:r>
    </w:p>
    <w:p w:rsidR="00B621A3" w:rsidRPr="00E43D72" w:rsidRDefault="00B621A3" w:rsidP="00B621A3">
      <w:pPr>
        <w:pStyle w:val="Default"/>
        <w:rPr>
          <w:rFonts w:eastAsia="Calibri"/>
        </w:rPr>
      </w:pPr>
      <w:r w:rsidRPr="00D65D53">
        <w:rPr>
          <w:rFonts w:eastAsia="Calibri"/>
        </w:rPr>
        <w:t>Для  выполнения основных работ учителями, преподавателями</w:t>
      </w:r>
      <w:r w:rsidR="00E43D72">
        <w:rPr>
          <w:rFonts w:eastAsia="Calibri"/>
        </w:rPr>
        <w:t xml:space="preserve"> </w:t>
      </w:r>
      <w:r w:rsidRPr="00D65D53">
        <w:rPr>
          <w:rFonts w:eastAsia="Calibri"/>
        </w:rPr>
        <w:t xml:space="preserve"> устанавливаются нормы преподавательской деятельности, определяемые как аудиторная занятость педагога. Нормируемая часть рабочег</w:t>
      </w:r>
      <w:r w:rsidRPr="00D65D53">
        <w:t xml:space="preserve">о времени </w:t>
      </w:r>
      <w:r w:rsidR="00E43D72">
        <w:t xml:space="preserve"> учителя</w:t>
      </w:r>
      <w:r w:rsidRPr="00D65D53">
        <w:rPr>
          <w:rFonts w:eastAsia="Calibri"/>
        </w:rPr>
        <w:t xml:space="preserve"> включает регулируемые учебным расписанием уроки (учебные кружковые занятия) продолжительностью 45 минут (35 минут для учителей начальных классов</w:t>
      </w:r>
      <w:r w:rsidRPr="00D65D53">
        <w:t xml:space="preserve"> в 1 классе -</w:t>
      </w:r>
      <w:r w:rsidR="00E75F73">
        <w:t xml:space="preserve"> </w:t>
      </w:r>
      <w:r w:rsidRPr="00D65D53">
        <w:t>сентябрь-</w:t>
      </w:r>
      <w:r w:rsidR="00E75F73">
        <w:t>декабрь</w:t>
      </w:r>
      <w:r w:rsidRPr="00D65D53">
        <w:rPr>
          <w:rFonts w:eastAsia="Calibri"/>
        </w:rPr>
        <w:t xml:space="preserve">) и перемены, установленные </w:t>
      </w:r>
      <w:proofErr w:type="gramStart"/>
      <w:r w:rsidRPr="00D65D53">
        <w:rPr>
          <w:rFonts w:eastAsia="Calibri"/>
        </w:rPr>
        <w:t>для</w:t>
      </w:r>
      <w:proofErr w:type="gramEnd"/>
      <w:r w:rsidRPr="00D65D53">
        <w:rPr>
          <w:rFonts w:eastAsia="Calibri"/>
        </w:rPr>
        <w:t xml:space="preserve"> обучающихся</w:t>
      </w:r>
      <w:r w:rsidR="00E43D72">
        <w:rPr>
          <w:rFonts w:eastAsia="Calibri"/>
        </w:rPr>
        <w:t>.</w:t>
      </w:r>
    </w:p>
    <w:p w:rsidR="00B621A3" w:rsidRPr="00D65D53" w:rsidRDefault="00B621A3" w:rsidP="00B621A3">
      <w:pPr>
        <w:pStyle w:val="Default"/>
        <w:rPr>
          <w:rFonts w:eastAsia="Calibri"/>
        </w:rPr>
      </w:pPr>
      <w:r w:rsidRPr="00D65D53">
        <w:rPr>
          <w:rFonts w:eastAsia="Calibri"/>
        </w:rPr>
        <w:t>Должностной окла</w:t>
      </w:r>
      <w:r w:rsidR="00EB7B95">
        <w:rPr>
          <w:rFonts w:eastAsia="Calibri"/>
        </w:rPr>
        <w:t xml:space="preserve">д учителя, преподавателя </w:t>
      </w:r>
      <w:r w:rsidRPr="00D65D53">
        <w:rPr>
          <w:rFonts w:eastAsia="Calibri"/>
        </w:rPr>
        <w:t xml:space="preserve"> оплачиваемый из базовой части фонда оплаты труда,  учитывает также неаудиторную занятость педагогического работника, требующую затрат рабочего времени, не конкретизированную по количеству часов, но вытекающую из его Должно</w:t>
      </w:r>
      <w:r w:rsidRPr="00D65D53">
        <w:t>стных обязанностей, Устава школы</w:t>
      </w:r>
      <w:r w:rsidRPr="00D65D53">
        <w:rPr>
          <w:rFonts w:eastAsia="Calibri"/>
        </w:rPr>
        <w:t>, Коллективного договора, Правил внутреннего трудового распорядка:</w:t>
      </w:r>
    </w:p>
    <w:p w:rsidR="00B621A3" w:rsidRPr="00D65D53" w:rsidRDefault="00B621A3" w:rsidP="00B621A3">
      <w:pPr>
        <w:pStyle w:val="ConsPlusNormal"/>
        <w:numPr>
          <w:ilvl w:val="0"/>
          <w:numId w:val="1"/>
        </w:numPr>
        <w:tabs>
          <w:tab w:val="clear" w:pos="900"/>
          <w:tab w:val="num" w:pos="426"/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время, затрачиваемое непосредственно на подготовку к урокам (учебным кружковым занятиям); </w:t>
      </w:r>
    </w:p>
    <w:p w:rsidR="00B621A3" w:rsidRPr="00D65D53" w:rsidRDefault="00B621A3" w:rsidP="00B621A3">
      <w:pPr>
        <w:pStyle w:val="ConsPlusNormal"/>
        <w:numPr>
          <w:ilvl w:val="0"/>
          <w:numId w:val="1"/>
        </w:numPr>
        <w:tabs>
          <w:tab w:val="clear" w:pos="900"/>
          <w:tab w:val="num" w:pos="426"/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 выполнение обязанностей, связанных со своевременным  оформлением  журнала и ведением документов планирования и диагностики достижения целей педагогической деятельности;</w:t>
      </w:r>
    </w:p>
    <w:p w:rsidR="00B621A3" w:rsidRPr="00D65D53" w:rsidRDefault="00B621A3" w:rsidP="00B621A3">
      <w:pPr>
        <w:pStyle w:val="ConsPlusNormal"/>
        <w:numPr>
          <w:ilvl w:val="0"/>
          <w:numId w:val="1"/>
        </w:numPr>
        <w:tabs>
          <w:tab w:val="clear" w:pos="900"/>
          <w:tab w:val="num" w:pos="426"/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 организацию и проведение методической, диагностической и консультативной помощи обучающимся и их родителям (законным представителям), участие в родительских собраниях и иных организационных формах работы с обучающимися и их родителями (законными представителями); </w:t>
      </w:r>
    </w:p>
    <w:p w:rsidR="00B621A3" w:rsidRPr="00D65D53" w:rsidRDefault="00B621A3" w:rsidP="00B621A3">
      <w:pPr>
        <w:pStyle w:val="ConsPlusNormal"/>
        <w:numPr>
          <w:ilvl w:val="0"/>
          <w:numId w:val="1"/>
        </w:numPr>
        <w:tabs>
          <w:tab w:val="clear" w:pos="900"/>
          <w:tab w:val="num" w:pos="426"/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время, затраченное на организацию  внеклассной работы по предмету, проведение оздоровительных, воспитательных и других мероприятий, предусмотренных образовательной программой;</w:t>
      </w:r>
    </w:p>
    <w:p w:rsidR="00B621A3" w:rsidRPr="00D65D53" w:rsidRDefault="00B621A3" w:rsidP="00B621A3">
      <w:pPr>
        <w:pStyle w:val="ConsPlusNormal"/>
        <w:numPr>
          <w:ilvl w:val="0"/>
          <w:numId w:val="1"/>
        </w:numPr>
        <w:tabs>
          <w:tab w:val="clear" w:pos="900"/>
          <w:tab w:val="num" w:pos="426"/>
          <w:tab w:val="num" w:pos="108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выполнение обязанностей, связанных с участием в работе педагогического совета, предметного МО  и/или другого локального профессионального сообщества.</w:t>
      </w:r>
    </w:p>
    <w:p w:rsidR="00B621A3" w:rsidRPr="00D65D53" w:rsidRDefault="00B621A3" w:rsidP="00B621A3">
      <w:pPr>
        <w:pStyle w:val="ConsPlusNormal"/>
        <w:tabs>
          <w:tab w:val="num" w:pos="1080"/>
        </w:tabs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1A3" w:rsidRPr="00D65D53" w:rsidRDefault="00B621A3" w:rsidP="00B621A3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D65D53">
        <w:rPr>
          <w:rFonts w:ascii="Times New Roman" w:hAnsi="Times New Roman" w:cs="Times New Roman"/>
          <w:sz w:val="24"/>
          <w:szCs w:val="24"/>
        </w:rPr>
        <w:t>Учёт  выполнения работ, связанных с неаудиторной занятостью педагога,  оплата которой   включена в  должностной оклад, осуществляется руководителем предметного МО, а также - заместителями директора по  учебно-воспитательной, воспитательной в рамках их компетентности, установленной приказом о распределении обязанностей между членами администрации.</w:t>
      </w:r>
      <w:proofErr w:type="gramEnd"/>
    </w:p>
    <w:p w:rsidR="00B621A3" w:rsidRPr="00D65D53" w:rsidRDefault="00B621A3" w:rsidP="00B621A3">
      <w:pPr>
        <w:jc w:val="both"/>
        <w:rPr>
          <w:b/>
        </w:rPr>
      </w:pPr>
    </w:p>
    <w:p w:rsidR="00B621A3" w:rsidRPr="00D65D53" w:rsidRDefault="00B621A3" w:rsidP="00B621A3">
      <w:pPr>
        <w:jc w:val="both"/>
        <w:rPr>
          <w:b/>
        </w:rPr>
      </w:pPr>
      <w:r>
        <w:rPr>
          <w:b/>
        </w:rPr>
        <w:lastRenderedPageBreak/>
        <w:t>5</w:t>
      </w:r>
      <w:r w:rsidRPr="00D65D53">
        <w:rPr>
          <w:b/>
        </w:rPr>
        <w:t>.Порядок нормирования и учёта дополнительных  работ, выполняемых  работниками школы.</w:t>
      </w:r>
    </w:p>
    <w:p w:rsidR="00B621A3" w:rsidRPr="00D65D53" w:rsidRDefault="00B621A3" w:rsidP="00B621A3">
      <w:pPr>
        <w:pStyle w:val="ConsPlusNormal"/>
        <w:tabs>
          <w:tab w:val="num" w:pos="108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 xml:space="preserve">.1.  Для педагогических работников, непосредственно осуществляющих учебный процесс, определяются следующие дополнительные виды работ, оплачиваемых из специальной части фонда оплаты  труда работников </w:t>
      </w:r>
      <w:r w:rsidR="00E75F73">
        <w:rPr>
          <w:rFonts w:ascii="Times New Roman" w:hAnsi="Times New Roman" w:cs="Times New Roman"/>
          <w:sz w:val="24"/>
          <w:szCs w:val="24"/>
        </w:rPr>
        <w:t>школы</w:t>
      </w:r>
      <w:r w:rsidRPr="00D65D53">
        <w:rPr>
          <w:rFonts w:ascii="Times New Roman" w:hAnsi="Times New Roman" w:cs="Times New Roman"/>
          <w:sz w:val="24"/>
          <w:szCs w:val="24"/>
        </w:rPr>
        <w:t xml:space="preserve"> на основе Дополнительного соглашения к Трудовому договору между педагогическим работником и работодателем: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проверка тетрадей и других контрольно-диагностических материалов;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подготовка лабораторного демонстрационного оборудования для проведения уроков и  других учебных занятий;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дополнительные работы по классному руководству, формированию ученического и родительского сообщества  класса или творческого объединения; 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дополнительные работы по организации внеклассных мероприятий  в начальной школе;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дополнительные работы  по педагогическому сопровождению индивидуальных образовательных программ (маршрутов) обучающихся; 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E75F73">
        <w:rPr>
          <w:rFonts w:ascii="Times New Roman" w:hAnsi="Times New Roman" w:cs="Times New Roman"/>
          <w:sz w:val="24"/>
          <w:szCs w:val="24"/>
        </w:rPr>
        <w:t>ШМО</w:t>
      </w:r>
      <w:r w:rsidRPr="00D65D53">
        <w:rPr>
          <w:rFonts w:ascii="Times New Roman" w:hAnsi="Times New Roman" w:cs="Times New Roman"/>
          <w:sz w:val="24"/>
          <w:szCs w:val="24"/>
        </w:rPr>
        <w:t>;</w:t>
      </w:r>
    </w:p>
    <w:p w:rsidR="00B621A3" w:rsidRPr="00EB7B95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индивидуальная работа с </w:t>
      </w:r>
      <w:proofErr w:type="gramStart"/>
      <w:r w:rsidRPr="00D65D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5D53">
        <w:rPr>
          <w:rFonts w:ascii="Times New Roman" w:hAnsi="Times New Roman" w:cs="Times New Roman"/>
          <w:sz w:val="24"/>
          <w:szCs w:val="24"/>
        </w:rPr>
        <w:t>, требующими усиленного педагогического внимания  (имеющими  трудности в восприятии учебной информации из-за снижения интеллекта, деформации учебной мотивации;  детей с отклоняющимся поведением;  детей, находящихся в трудной жизненной ситуации; детей  из асоциальных и деструктивных семей;</w:t>
      </w:r>
    </w:p>
    <w:p w:rsidR="00B621A3" w:rsidRPr="00D65D53" w:rsidRDefault="00B621A3" w:rsidP="00EB7B9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D53">
        <w:rPr>
          <w:rFonts w:ascii="Times New Roman" w:hAnsi="Times New Roman" w:cs="Times New Roman"/>
          <w:sz w:val="24"/>
          <w:szCs w:val="24"/>
        </w:rPr>
        <w:t>детей-сирот и опекаемых);</w:t>
      </w:r>
      <w:proofErr w:type="gramEnd"/>
    </w:p>
    <w:p w:rsidR="00B621A3" w:rsidRPr="009E113D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индивидуальные занятия с больными детьми на дому;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работа с одарёнными детьми;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работа по реализации приоритетных направлений программы развития ОО;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осуществление инновационной и опытно-экспериментальной деятельности;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работа по внедрению современных, в том числе информационных технологий в образовательный процесс;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обучение больных детей и детей-инвалидов на дому;</w:t>
      </w:r>
    </w:p>
    <w:p w:rsidR="00B621A3" w:rsidRPr="00D65D53" w:rsidRDefault="00B621A3" w:rsidP="00B621A3">
      <w:pPr>
        <w:pStyle w:val="ConsPlusNormal"/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заведование кабинетом</w:t>
      </w:r>
      <w:r w:rsidR="00E75F73">
        <w:rPr>
          <w:rFonts w:ascii="Times New Roman" w:hAnsi="Times New Roman" w:cs="Times New Roman"/>
          <w:sz w:val="24"/>
          <w:szCs w:val="24"/>
        </w:rPr>
        <w:t>, мастерской.</w:t>
      </w: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>.2. Нормирование выполняемых педагогическим работником работ, связанных с проверкой тетрадей и других контрольно-диагностических материалов осуществляется на основе Положения о проверке тетрадей и других контрольно-диагностических материалов в школе. Систематический учёт этих работ  проводится заместителями директора школы  по учебно-воспитательной работе.</w:t>
      </w: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>.3. Нормирование и учёт  выполняемых работником школы  дополнительных работ по подготовке лабораторного демонстрационного оборудования для проведения уроков и  других учебных занятий производится заместителем директора по учебно-воспитательной работе.</w:t>
      </w: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 xml:space="preserve">.4. Нормирование и учёт  дополнительных педагогических работ по классному руководству, а также по организации внеклассных мероприятий в </w:t>
      </w:r>
      <w:r w:rsidR="00EB7B95">
        <w:rPr>
          <w:rFonts w:ascii="Times New Roman" w:hAnsi="Times New Roman" w:cs="Times New Roman"/>
          <w:sz w:val="24"/>
          <w:szCs w:val="24"/>
        </w:rPr>
        <w:t xml:space="preserve"> </w:t>
      </w:r>
      <w:r w:rsidRPr="00D65D53">
        <w:rPr>
          <w:rFonts w:ascii="Times New Roman" w:hAnsi="Times New Roman" w:cs="Times New Roman"/>
          <w:sz w:val="24"/>
          <w:szCs w:val="24"/>
        </w:rPr>
        <w:t xml:space="preserve"> школе осуществляется заместителем директора по воспитательной работе, контролирующим составление и исполнение плана воспитательной работы.</w:t>
      </w: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>.</w:t>
      </w:r>
      <w:r w:rsidR="00E75F73"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65D53">
        <w:rPr>
          <w:rFonts w:ascii="Times New Roman" w:hAnsi="Times New Roman" w:cs="Times New Roman"/>
          <w:sz w:val="24"/>
          <w:szCs w:val="24"/>
        </w:rPr>
        <w:t>Нормирование и учёт дополнительных работ с обучающимися, требующими усиленного педагогического внимания  (имеющими  трудности в восприятии учебной информации из-за снижения интеллекта, деформации учебной мотивации,  детей с отклоняющимся поведением,  детей, находящихся в трудной жизненной ситуации, детей  из асоциальных и деструктивных семей, детей-сирот и опекаемых) определяется на основе реш</w:t>
      </w:r>
      <w:r w:rsidR="00EB7B95">
        <w:rPr>
          <w:rFonts w:ascii="Times New Roman" w:hAnsi="Times New Roman" w:cs="Times New Roman"/>
          <w:sz w:val="24"/>
          <w:szCs w:val="24"/>
        </w:rPr>
        <w:t>ения педагогического совета</w:t>
      </w:r>
      <w:r w:rsidRPr="00D65D53">
        <w:rPr>
          <w:rFonts w:ascii="Times New Roman" w:hAnsi="Times New Roman" w:cs="Times New Roman"/>
          <w:sz w:val="24"/>
          <w:szCs w:val="24"/>
        </w:rPr>
        <w:t>, а также – Положения о работе с детьми «группы риска»  и осуществляется заместителями</w:t>
      </w:r>
      <w:proofErr w:type="gramEnd"/>
      <w:r w:rsidRPr="00D65D53">
        <w:rPr>
          <w:rFonts w:ascii="Times New Roman" w:hAnsi="Times New Roman" w:cs="Times New Roman"/>
          <w:sz w:val="24"/>
          <w:szCs w:val="24"/>
        </w:rPr>
        <w:t xml:space="preserve"> директора по УВР и ВР.</w:t>
      </w: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>.</w:t>
      </w:r>
      <w:r w:rsidR="00E75F73">
        <w:rPr>
          <w:rFonts w:ascii="Times New Roman" w:hAnsi="Times New Roman" w:cs="Times New Roman"/>
          <w:sz w:val="24"/>
          <w:szCs w:val="24"/>
        </w:rPr>
        <w:t>6</w:t>
      </w:r>
      <w:r w:rsidRPr="00D65D53">
        <w:rPr>
          <w:rFonts w:ascii="Times New Roman" w:hAnsi="Times New Roman" w:cs="Times New Roman"/>
          <w:sz w:val="24"/>
          <w:szCs w:val="24"/>
        </w:rPr>
        <w:t xml:space="preserve">.  Нормирование и учёт педагогических работ по проведению индивидуальных занятий на дому с </w:t>
      </w:r>
      <w:proofErr w:type="gramStart"/>
      <w:r w:rsidRPr="00D65D5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5D53">
        <w:rPr>
          <w:rFonts w:ascii="Times New Roman" w:hAnsi="Times New Roman" w:cs="Times New Roman"/>
          <w:sz w:val="24"/>
          <w:szCs w:val="24"/>
        </w:rPr>
        <w:t>, организуемых в соответствии с медицинским заключением, определяется приказом по школе и осуществляется заместителем директора по УВР.</w:t>
      </w:r>
    </w:p>
    <w:p w:rsidR="00B621A3" w:rsidRPr="00D65D53" w:rsidRDefault="00B621A3" w:rsidP="00B621A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5D53">
        <w:rPr>
          <w:rFonts w:ascii="Times New Roman" w:hAnsi="Times New Roman" w:cs="Times New Roman"/>
          <w:sz w:val="24"/>
          <w:szCs w:val="24"/>
        </w:rPr>
        <w:t>.</w:t>
      </w:r>
      <w:r w:rsidR="00960926">
        <w:rPr>
          <w:rFonts w:ascii="Times New Roman" w:hAnsi="Times New Roman" w:cs="Times New Roman"/>
          <w:sz w:val="24"/>
          <w:szCs w:val="24"/>
        </w:rPr>
        <w:t>7</w:t>
      </w:r>
      <w:r w:rsidRPr="00D65D53">
        <w:rPr>
          <w:rFonts w:ascii="Times New Roman" w:hAnsi="Times New Roman" w:cs="Times New Roman"/>
          <w:sz w:val="24"/>
          <w:szCs w:val="24"/>
        </w:rPr>
        <w:t>.   Нормирование и учёт дополнительных работ, связанных с заведованием учебного кабинета определяется на основе Положения об учебном кабинете и осуществляется заместителем директора по УВР.</w:t>
      </w:r>
    </w:p>
    <w:p w:rsidR="00B621A3" w:rsidRPr="00D65D53" w:rsidRDefault="00B621A3" w:rsidP="00B621A3">
      <w:pPr>
        <w:jc w:val="both"/>
      </w:pPr>
      <w:r>
        <w:lastRenderedPageBreak/>
        <w:t>5</w:t>
      </w:r>
      <w:r w:rsidRPr="00D65D53">
        <w:t>.</w:t>
      </w:r>
      <w:r w:rsidR="00960926">
        <w:t>8</w:t>
      </w:r>
      <w:r w:rsidRPr="00D65D53">
        <w:t>. На основе конкретных Трудовых обязательств работника школы определяются и утверждаются Педсоветом  следующие дополнительные работы, направленные на достижение современного качества  образования:</w:t>
      </w:r>
    </w:p>
    <w:p w:rsidR="00B621A3" w:rsidRPr="00D65D53" w:rsidRDefault="00B621A3" w:rsidP="00B621A3">
      <w:pPr>
        <w:pStyle w:val="ConsPlusNormal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 xml:space="preserve">педагогическое сопровождение индивидуальных образовательных маршрутов и программ обучающихся; </w:t>
      </w:r>
    </w:p>
    <w:p w:rsidR="00B621A3" w:rsidRPr="00B621A3" w:rsidRDefault="00B621A3" w:rsidP="00B621A3">
      <w:pPr>
        <w:pStyle w:val="ConsPlusNormal"/>
        <w:numPr>
          <w:ilvl w:val="0"/>
          <w:numId w:val="3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53">
        <w:rPr>
          <w:rFonts w:ascii="Times New Roman" w:hAnsi="Times New Roman" w:cs="Times New Roman"/>
          <w:sz w:val="24"/>
          <w:szCs w:val="24"/>
        </w:rPr>
        <w:t>реализация приоритетных направлений программы развития ОУ;</w:t>
      </w:r>
    </w:p>
    <w:p w:rsidR="00B621A3" w:rsidRPr="00D65D53" w:rsidRDefault="00B621A3" w:rsidP="00B621A3">
      <w:pPr>
        <w:numPr>
          <w:ilvl w:val="0"/>
          <w:numId w:val="3"/>
        </w:numPr>
        <w:tabs>
          <w:tab w:val="left" w:pos="142"/>
        </w:tabs>
        <w:ind w:left="0" w:firstLine="0"/>
        <w:contextualSpacing/>
        <w:jc w:val="both"/>
      </w:pPr>
      <w:r w:rsidRPr="00D65D53">
        <w:t xml:space="preserve">осуществление инновационной, опытно-экспериментальной деятельности; </w:t>
      </w:r>
    </w:p>
    <w:p w:rsidR="00B621A3" w:rsidRPr="00D65D53" w:rsidRDefault="00B621A3" w:rsidP="00B621A3">
      <w:pPr>
        <w:numPr>
          <w:ilvl w:val="0"/>
          <w:numId w:val="3"/>
        </w:numPr>
        <w:tabs>
          <w:tab w:val="left" w:pos="142"/>
        </w:tabs>
        <w:ind w:left="0" w:firstLine="0"/>
        <w:contextualSpacing/>
        <w:jc w:val="both"/>
      </w:pPr>
      <w:r w:rsidRPr="00D65D53">
        <w:t xml:space="preserve">участие в работе службы оценки качества образования в  школе; </w:t>
      </w:r>
    </w:p>
    <w:p w:rsidR="00B621A3" w:rsidRPr="00D65D53" w:rsidRDefault="00B621A3" w:rsidP="00B621A3">
      <w:pPr>
        <w:numPr>
          <w:ilvl w:val="0"/>
          <w:numId w:val="3"/>
        </w:numPr>
        <w:tabs>
          <w:tab w:val="left" w:pos="142"/>
        </w:tabs>
        <w:ind w:left="0" w:firstLine="0"/>
        <w:contextualSpacing/>
        <w:jc w:val="both"/>
      </w:pPr>
      <w:r w:rsidRPr="00D65D53">
        <w:t xml:space="preserve">внедрение современных, в том числе информационных, технологий в образовательную практику; </w:t>
      </w:r>
    </w:p>
    <w:p w:rsidR="00B621A3" w:rsidRPr="00D65D53" w:rsidRDefault="00B621A3" w:rsidP="00B621A3">
      <w:pPr>
        <w:numPr>
          <w:ilvl w:val="0"/>
          <w:numId w:val="3"/>
        </w:numPr>
        <w:tabs>
          <w:tab w:val="left" w:pos="142"/>
        </w:tabs>
        <w:ind w:left="0" w:firstLine="0"/>
        <w:contextualSpacing/>
        <w:jc w:val="both"/>
      </w:pPr>
      <w:r w:rsidRPr="00D65D53">
        <w:t xml:space="preserve">обеспечение индивидуализации и вариативности образовательного процесса в работе с одаренными детьми. </w:t>
      </w:r>
    </w:p>
    <w:p w:rsidR="00B621A3" w:rsidRPr="00D65D53" w:rsidRDefault="00B621A3" w:rsidP="00B621A3">
      <w:pPr>
        <w:jc w:val="both"/>
      </w:pPr>
    </w:p>
    <w:p w:rsidR="00B621A3" w:rsidRPr="00D65D53" w:rsidRDefault="00B621A3" w:rsidP="00B621A3">
      <w:pPr>
        <w:jc w:val="both"/>
      </w:pPr>
      <w:r>
        <w:t>5</w:t>
      </w:r>
      <w:r w:rsidRPr="00D65D53">
        <w:t>.</w:t>
      </w:r>
      <w:r w:rsidR="00960926">
        <w:t>9</w:t>
      </w:r>
      <w:r w:rsidRPr="00D65D53">
        <w:t xml:space="preserve">. Нормирование и учёт дополнительных работ по  реализации приоритетных направлений программы развития школы, а также - осуществлению инновационной, опытно-экспериментальной деятельности в каждом конкретном случае определяется  на основе  приказа по школе «Об организации опытно-экспериментальной деятельности  учителей школы на учебный год» и конкретизируется в соответствующем разделе ежегодного плана работы школы. </w:t>
      </w:r>
    </w:p>
    <w:p w:rsidR="00B621A3" w:rsidRPr="00D65D53" w:rsidRDefault="00B621A3" w:rsidP="00B621A3">
      <w:pPr>
        <w:jc w:val="both"/>
      </w:pPr>
    </w:p>
    <w:p w:rsidR="00B621A3" w:rsidRPr="00D65D53" w:rsidRDefault="00B621A3" w:rsidP="00B621A3">
      <w:pPr>
        <w:jc w:val="both"/>
      </w:pPr>
      <w:r>
        <w:t>5</w:t>
      </w:r>
      <w:r w:rsidRPr="00D65D53">
        <w:t>.1</w:t>
      </w:r>
      <w:r w:rsidR="00960926">
        <w:t>0</w:t>
      </w:r>
      <w:r w:rsidRPr="00D65D53">
        <w:t>. Участие в работе службы оценки качества образования в школе  включает в себя следующие виды работ:</w:t>
      </w:r>
    </w:p>
    <w:p w:rsidR="00B621A3" w:rsidRPr="00D65D53" w:rsidRDefault="00B621A3" w:rsidP="00B621A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65D53">
        <w:t>разработка контрольно-измерительных материалов и/или подбор  диагностических методик для организации  мониторинговых исследований по одному  или нескольким показателям качества школьного образования;</w:t>
      </w:r>
    </w:p>
    <w:p w:rsidR="00B621A3" w:rsidRPr="00D65D53" w:rsidRDefault="00B621A3" w:rsidP="00B621A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65D53">
        <w:t>организация и проведение процедуры  планового мониторингового исследования;</w:t>
      </w:r>
    </w:p>
    <w:p w:rsidR="00B621A3" w:rsidRPr="00D65D53" w:rsidRDefault="00B621A3" w:rsidP="00B621A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65D53">
        <w:t>проверка данных мониторингового исследования, определение результатов;</w:t>
      </w:r>
    </w:p>
    <w:p w:rsidR="00B621A3" w:rsidRPr="00D65D53" w:rsidRDefault="00B621A3" w:rsidP="00B621A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65D53">
        <w:t>математическая обработка статистических данных;</w:t>
      </w:r>
    </w:p>
    <w:p w:rsidR="00B621A3" w:rsidRPr="00D65D53" w:rsidRDefault="00B621A3" w:rsidP="00B621A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65D53">
        <w:t>аналитическая работа, определение проблемных зон и тенденций развития;</w:t>
      </w:r>
    </w:p>
    <w:p w:rsidR="00B621A3" w:rsidRPr="00D65D53" w:rsidRDefault="00B621A3" w:rsidP="00B621A3">
      <w:pPr>
        <w:numPr>
          <w:ilvl w:val="0"/>
          <w:numId w:val="4"/>
        </w:numPr>
        <w:tabs>
          <w:tab w:val="left" w:pos="284"/>
        </w:tabs>
        <w:ind w:left="0" w:firstLine="0"/>
        <w:contextualSpacing/>
        <w:jc w:val="both"/>
      </w:pPr>
      <w:r w:rsidRPr="00D65D53">
        <w:t>подготовка  аналитических справок и сообщений на различных совещаниях и рефлексивных семинарах.</w:t>
      </w:r>
    </w:p>
    <w:p w:rsidR="00B621A3" w:rsidRPr="00D65D53" w:rsidRDefault="00B621A3" w:rsidP="00B621A3">
      <w:pPr>
        <w:tabs>
          <w:tab w:val="left" w:pos="284"/>
        </w:tabs>
        <w:jc w:val="both"/>
      </w:pPr>
    </w:p>
    <w:p w:rsidR="00B621A3" w:rsidRPr="00D65D53" w:rsidRDefault="00B621A3" w:rsidP="00B621A3">
      <w:pPr>
        <w:jc w:val="both"/>
      </w:pPr>
      <w:r>
        <w:t>5</w:t>
      </w:r>
      <w:r w:rsidRPr="00D65D53">
        <w:t>.1</w:t>
      </w:r>
      <w:r w:rsidR="00960926">
        <w:t>1</w:t>
      </w:r>
      <w:r w:rsidRPr="00D65D53">
        <w:t xml:space="preserve">. Дополнительные работы по внедрению современных, в том числе информационных, технологий в образовательную практику предполагает, прежде всего: </w:t>
      </w:r>
    </w:p>
    <w:p w:rsidR="00B621A3" w:rsidRPr="00D65D53" w:rsidRDefault="00B621A3" w:rsidP="00B621A3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</w:pPr>
      <w:r w:rsidRPr="00D65D53">
        <w:t>активное применение современных образовательных технологий в педагогической практике;</w:t>
      </w:r>
    </w:p>
    <w:p w:rsidR="00B621A3" w:rsidRPr="00D65D53" w:rsidRDefault="00B621A3" w:rsidP="00B621A3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</w:pPr>
      <w:r w:rsidRPr="00D65D53">
        <w:t>разработку и апробацию сетевых технологий организации обучения и воспитания;</w:t>
      </w:r>
    </w:p>
    <w:p w:rsidR="00B621A3" w:rsidRPr="00D65D53" w:rsidRDefault="00B621A3" w:rsidP="00B621A3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</w:pPr>
      <w:r w:rsidRPr="00D65D53">
        <w:t>создание и апробацию педагогическим  работником цифровых образовательных ресурсов;</w:t>
      </w:r>
    </w:p>
    <w:p w:rsidR="00B621A3" w:rsidRPr="00D65D53" w:rsidRDefault="00B621A3" w:rsidP="00B621A3">
      <w:pPr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</w:pPr>
      <w:r w:rsidRPr="00D65D53">
        <w:t xml:space="preserve">эффективное использование интерактивного оборудования в учебном процессе. </w:t>
      </w:r>
    </w:p>
    <w:p w:rsidR="00B621A3" w:rsidRPr="00D65D53" w:rsidRDefault="00B621A3" w:rsidP="00B621A3">
      <w:pPr>
        <w:jc w:val="both"/>
      </w:pPr>
      <w:r w:rsidRPr="00D65D53">
        <w:t>Оплата  дополнительных работ по внедрению современных, в том числе информационных, технологий производится  на основе  учёта  дополнительных работ по внедрению современных, в том числе информационных, технологий в образовательную практику заместителем  директора по информатизации УВП.</w:t>
      </w:r>
    </w:p>
    <w:p w:rsidR="00B621A3" w:rsidRPr="00D65D53" w:rsidRDefault="00B621A3" w:rsidP="00B621A3">
      <w:pPr>
        <w:jc w:val="both"/>
      </w:pPr>
      <w:r>
        <w:t>5</w:t>
      </w:r>
      <w:r w:rsidRPr="00D65D53">
        <w:t>.1</w:t>
      </w:r>
      <w:r w:rsidR="00960926">
        <w:t>2</w:t>
      </w:r>
      <w:r w:rsidRPr="00D65D53">
        <w:t>.  Дополнительные работы по обеспечению индивидуализации и вариативности образовательного процесса в работе с одаренными детьми нормируются в каждом конкретном случае  в плане индивидуального сопровождения одарённого ученика. Учёт  этой работы администратором, курирующим соответствующее направление в школе.</w:t>
      </w:r>
    </w:p>
    <w:p w:rsidR="00B621A3" w:rsidRPr="00D65D53" w:rsidRDefault="00B621A3" w:rsidP="00B621A3">
      <w:pPr>
        <w:jc w:val="both"/>
      </w:pPr>
    </w:p>
    <w:p w:rsidR="00B621A3" w:rsidRPr="00D65D53" w:rsidRDefault="00B621A3" w:rsidP="00B621A3">
      <w:pPr>
        <w:jc w:val="both"/>
      </w:pPr>
      <w:r>
        <w:t>5</w:t>
      </w:r>
      <w:r w:rsidRPr="00D65D53">
        <w:t>.1</w:t>
      </w:r>
      <w:r w:rsidR="00960926">
        <w:t>3</w:t>
      </w:r>
      <w:r w:rsidRPr="00D65D53">
        <w:t>. Учёт и оценка качества выполнения дополнительных работ, направленные на достижение современного качества школьного образования, оплачиваемых из доли стимулирующей части фонда оплаты  труда работников</w:t>
      </w:r>
      <w:proofErr w:type="gramStart"/>
      <w:r w:rsidRPr="00D65D53">
        <w:t xml:space="preserve"> ,</w:t>
      </w:r>
      <w:proofErr w:type="gramEnd"/>
      <w:r w:rsidRPr="00D65D53">
        <w:t xml:space="preserve"> производятся не реже одного раза в год экспертной комиссией школы на основе подготовленного работником творческого отчёта. </w:t>
      </w:r>
    </w:p>
    <w:p w:rsidR="00B621A3" w:rsidRPr="00D65D53" w:rsidRDefault="00B621A3" w:rsidP="00B621A3">
      <w:pPr>
        <w:jc w:val="both"/>
        <w:sectPr w:rsidR="00B621A3" w:rsidRPr="00D65D53" w:rsidSect="00B621A3">
          <w:pgSz w:w="11906" w:h="17338"/>
          <w:pgMar w:top="567" w:right="560" w:bottom="426" w:left="1701" w:header="720" w:footer="720" w:gutter="0"/>
          <w:cols w:space="720"/>
          <w:noEndnote/>
        </w:sectPr>
      </w:pPr>
      <w:r>
        <w:t>5</w:t>
      </w:r>
      <w:r w:rsidRPr="00D65D53">
        <w:t>.1</w:t>
      </w:r>
      <w:r w:rsidR="00960926">
        <w:t>4</w:t>
      </w:r>
      <w:bookmarkStart w:id="0" w:name="_GoBack"/>
      <w:bookmarkEnd w:id="0"/>
      <w:r w:rsidRPr="00D65D53">
        <w:t>.  Нормирование и учёт  особо важных и срочных работ осуществляется по представлению директора специально созданной  экспертной комиссией школы и оплачивается после выполнения</w:t>
      </w:r>
      <w:r>
        <w:t xml:space="preserve"> данных работ из фонда экономии</w:t>
      </w:r>
    </w:p>
    <w:p w:rsidR="00EA3C92" w:rsidRDefault="00EA3C92"/>
    <w:sectPr w:rsidR="00EA3C92" w:rsidSect="005F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6B"/>
    <w:multiLevelType w:val="hybridMultilevel"/>
    <w:tmpl w:val="C906828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D5188"/>
    <w:multiLevelType w:val="hybridMultilevel"/>
    <w:tmpl w:val="0B681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7451"/>
    <w:multiLevelType w:val="hybridMultilevel"/>
    <w:tmpl w:val="22824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71EC3"/>
    <w:multiLevelType w:val="hybridMultilevel"/>
    <w:tmpl w:val="8C807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675FC"/>
    <w:multiLevelType w:val="hybridMultilevel"/>
    <w:tmpl w:val="111EE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621A3"/>
    <w:rsid w:val="002D0ACD"/>
    <w:rsid w:val="003334BB"/>
    <w:rsid w:val="003713A6"/>
    <w:rsid w:val="007E622B"/>
    <w:rsid w:val="008272CA"/>
    <w:rsid w:val="00960926"/>
    <w:rsid w:val="00B621A3"/>
    <w:rsid w:val="00DA4190"/>
    <w:rsid w:val="00E43D72"/>
    <w:rsid w:val="00E75F73"/>
    <w:rsid w:val="00E97AAD"/>
    <w:rsid w:val="00EA3C92"/>
    <w:rsid w:val="00EB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2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62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621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B621A3"/>
    <w:pPr>
      <w:spacing w:before="40" w:after="4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0A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B184-5DE7-4509-AE66-0499BDEB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2022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Чкалово</Company>
  <LinksUpToDate>false</LinksUpToDate>
  <CharactersWithSpaces>13526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2014-02-04T11:31:00Z</cp:lastPrinted>
  <dcterms:created xsi:type="dcterms:W3CDTF">2014-02-01T10:41:00Z</dcterms:created>
  <dcterms:modified xsi:type="dcterms:W3CDTF">2014-02-04T17:38:00Z</dcterms:modified>
</cp:coreProperties>
</file>